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2" w:rsidRPr="00162839" w:rsidRDefault="00236852" w:rsidP="00162839">
      <w:pPr>
        <w:autoSpaceDE w:val="0"/>
        <w:autoSpaceDN w:val="0"/>
        <w:adjustRightInd w:val="0"/>
        <w:jc w:val="center"/>
        <w:rPr>
          <w:rFonts w:ascii="Arial Black" w:hAnsi="Arial Black" w:cs="Arial"/>
          <w:sz w:val="28"/>
          <w:szCs w:val="21"/>
        </w:rPr>
      </w:pPr>
      <w:r w:rsidRPr="00162839">
        <w:rPr>
          <w:rFonts w:ascii="Arial Black" w:hAnsi="Arial Black" w:cs="Arial"/>
          <w:sz w:val="28"/>
          <w:szCs w:val="21"/>
        </w:rPr>
        <w:t>CHAPTER 25</w:t>
      </w:r>
      <w:r w:rsidR="00162839">
        <w:rPr>
          <w:rFonts w:ascii="Arial Black" w:hAnsi="Arial Black" w:cs="Arial"/>
          <w:sz w:val="28"/>
          <w:szCs w:val="21"/>
        </w:rPr>
        <w:t xml:space="preserve"> </w:t>
      </w:r>
      <w:r w:rsidRPr="00162839">
        <w:rPr>
          <w:rFonts w:ascii="Arial Black" w:hAnsi="Arial Black" w:cs="Arial"/>
          <w:sz w:val="28"/>
          <w:szCs w:val="21"/>
        </w:rPr>
        <w:t>HOUSING FUND</w:t>
      </w:r>
    </w:p>
    <w:p w:rsidR="00236852" w:rsidRDefault="00236852" w:rsidP="00162839">
      <w:pPr>
        <w:autoSpaceDE w:val="0"/>
        <w:autoSpaceDN w:val="0"/>
        <w:adjustRightInd w:val="0"/>
        <w:rPr>
          <w:rFonts w:ascii="Arial" w:hAnsi="Arial" w:cs="Arial"/>
          <w:b/>
          <w:bCs/>
          <w:sz w:val="21"/>
          <w:szCs w:val="21"/>
        </w:rPr>
      </w:pP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261—25.1(15) Purpose</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Pr="00162839">
        <w:rPr>
          <w:rFonts w:ascii="Arial" w:hAnsi="Arial" w:cs="Arial"/>
          <w:sz w:val="22"/>
          <w:szCs w:val="22"/>
        </w:rPr>
        <w:t>The primary purpose of the housing fund, made up of federal CDBG funds, is to retain the supply of decent and affordable housing for low- and moderate-income Iowans.</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261—25.2(15) Definitions</w:t>
      </w:r>
      <w:r w:rsidR="008018EF" w:rsidRPr="00162839">
        <w:rPr>
          <w:rFonts w:ascii="Arial" w:hAnsi="Arial" w:cs="Arial"/>
          <w:b/>
          <w:bCs/>
          <w:sz w:val="22"/>
          <w:szCs w:val="22"/>
        </w:rPr>
        <w:t>.</w:t>
      </w:r>
      <w:proofErr w:type="gramEnd"/>
      <w:r w:rsidR="008018EF" w:rsidRPr="00162839">
        <w:rPr>
          <w:rFonts w:ascii="Arial" w:hAnsi="Arial" w:cs="Arial"/>
          <w:b/>
          <w:bCs/>
          <w:sz w:val="22"/>
          <w:szCs w:val="22"/>
        </w:rPr>
        <w:t xml:space="preserve">  </w:t>
      </w:r>
      <w:r w:rsidRPr="00162839">
        <w:rPr>
          <w:rFonts w:ascii="Arial" w:hAnsi="Arial" w:cs="Arial"/>
          <w:sz w:val="22"/>
          <w:szCs w:val="22"/>
        </w:rPr>
        <w:t>When used in this chapter, unless the context otherwise requires: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“Activity” </w:t>
      </w:r>
      <w:r w:rsidRPr="00162839">
        <w:rPr>
          <w:rFonts w:ascii="Arial" w:hAnsi="Arial" w:cs="Arial"/>
          <w:sz w:val="22"/>
          <w:szCs w:val="22"/>
        </w:rPr>
        <w:t>means one or more specific owner-occupied housing rehabilitation activities, projects or programs assisted through the housing fund.</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“Administrative plan” </w:t>
      </w:r>
      <w:r w:rsidRPr="00162839">
        <w:rPr>
          <w:rFonts w:ascii="Arial" w:hAnsi="Arial" w:cs="Arial"/>
          <w:sz w:val="22"/>
          <w:szCs w:val="22"/>
        </w:rPr>
        <w:t>means a document that a housing fund recipient establishes that describes the operation of a funded activity in compliance with all state and federal requirements.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“CDBG” </w:t>
      </w:r>
      <w:r w:rsidRPr="00162839">
        <w:rPr>
          <w:rFonts w:ascii="Arial" w:hAnsi="Arial" w:cs="Arial"/>
          <w:sz w:val="22"/>
          <w:szCs w:val="22"/>
        </w:rPr>
        <w:t>means the community development block grant non-entitlement program, the grant program authorized by Title I of the Housing and Community Development Act of 1974, for counties and cities, except those designated by HUD as entitlement areas.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“Consolidated plan” </w:t>
      </w:r>
      <w:r w:rsidRPr="00162839">
        <w:rPr>
          <w:rFonts w:ascii="Arial" w:hAnsi="Arial" w:cs="Arial"/>
          <w:sz w:val="22"/>
          <w:szCs w:val="22"/>
        </w:rPr>
        <w:t>means the state’s housing and community development planning document and the annual action plan update approved by HUD.</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“Housing fund” </w:t>
      </w:r>
      <w:r w:rsidRPr="00162839">
        <w:rPr>
          <w:rFonts w:ascii="Arial" w:hAnsi="Arial" w:cs="Arial"/>
          <w:sz w:val="22"/>
          <w:szCs w:val="22"/>
        </w:rPr>
        <w:t>means the program implemented by this chapter and funded through the state’s CDBG allocation from HUD.</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“HUD” </w:t>
      </w:r>
      <w:r w:rsidRPr="00162839">
        <w:rPr>
          <w:rFonts w:ascii="Arial" w:hAnsi="Arial" w:cs="Arial"/>
          <w:sz w:val="22"/>
          <w:szCs w:val="22"/>
        </w:rPr>
        <w:t>means the U.S. Department of Housing and Urban Development.</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w:t>
      </w:r>
      <w:r w:rsidR="00631089" w:rsidRPr="00162839">
        <w:rPr>
          <w:rFonts w:ascii="Arial" w:hAnsi="Arial" w:cs="Arial"/>
          <w:i/>
          <w:iCs/>
          <w:sz w:val="22"/>
          <w:szCs w:val="22"/>
        </w:rPr>
        <w:t>IEDA</w:t>
      </w:r>
      <w:r w:rsidRPr="00162839">
        <w:rPr>
          <w:rFonts w:ascii="Arial" w:hAnsi="Arial" w:cs="Arial"/>
          <w:i/>
          <w:iCs/>
          <w:sz w:val="22"/>
          <w:szCs w:val="22"/>
        </w:rPr>
        <w:t xml:space="preserve">” </w:t>
      </w:r>
      <w:r w:rsidRPr="00162839">
        <w:rPr>
          <w:rFonts w:ascii="Arial" w:hAnsi="Arial" w:cs="Arial"/>
          <w:sz w:val="22"/>
          <w:szCs w:val="22"/>
        </w:rPr>
        <w:t>means the Iowa department of economic development.</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“Iowa green communities criteria” </w:t>
      </w:r>
      <w:r w:rsidRPr="00162839">
        <w:rPr>
          <w:rFonts w:ascii="Arial" w:hAnsi="Arial" w:cs="Arial"/>
          <w:sz w:val="22"/>
          <w:szCs w:val="22"/>
        </w:rPr>
        <w:t xml:space="preserve">means a set of rating factors, some optional and some mandatory, prepared by </w:t>
      </w:r>
      <w:r w:rsidR="00631089" w:rsidRPr="00162839">
        <w:rPr>
          <w:rFonts w:ascii="Arial" w:hAnsi="Arial" w:cs="Arial"/>
          <w:sz w:val="22"/>
          <w:szCs w:val="22"/>
        </w:rPr>
        <w:t>IEDA</w:t>
      </w:r>
      <w:r w:rsidRPr="00162839">
        <w:rPr>
          <w:rFonts w:ascii="Arial" w:hAnsi="Arial" w:cs="Arial"/>
          <w:sz w:val="22"/>
          <w:szCs w:val="22"/>
        </w:rPr>
        <w:t xml:space="preserve"> and intended to promote public health, energy efficiency, water conservation, smart locations, operational savings and sustainable building practices.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“Lead hazard reduction or abatement carrying costs” </w:t>
      </w:r>
      <w:r w:rsidRPr="00162839">
        <w:rPr>
          <w:rFonts w:ascii="Arial" w:hAnsi="Arial" w:cs="Arial"/>
          <w:sz w:val="22"/>
          <w:szCs w:val="22"/>
        </w:rPr>
        <w:t>means the additional costs incurred by lead professionals to ensure that target housing is lead-safe at the completion of rehabilitation</w:t>
      </w:r>
      <w:r w:rsidR="008018EF" w:rsidRPr="00162839">
        <w:rPr>
          <w:rFonts w:ascii="Arial" w:hAnsi="Arial" w:cs="Arial"/>
          <w:sz w:val="22"/>
          <w:szCs w:val="22"/>
        </w:rPr>
        <w:t xml:space="preserve">.  </w:t>
      </w:r>
      <w:r w:rsidRPr="00162839">
        <w:rPr>
          <w:rFonts w:ascii="Arial" w:hAnsi="Arial" w:cs="Arial"/>
          <w:sz w:val="22"/>
          <w:szCs w:val="22"/>
        </w:rPr>
        <w:t>“Lead hazard reduction or abatement carrying costs” includes, but is not limited to, required notifications and reports, lead hazard or abatement evaluations, revisions to project specifications to achieve lead safety, lead hazard reduction or abatement oversight, and clearance testing and final assessment.</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“Local financial support” </w:t>
      </w:r>
      <w:r w:rsidRPr="00162839">
        <w:rPr>
          <w:rFonts w:ascii="Arial" w:hAnsi="Arial" w:cs="Arial"/>
          <w:sz w:val="22"/>
          <w:szCs w:val="22"/>
        </w:rPr>
        <w:t>means financial investment by the recipient through the use of the recipient’s own discretionary funds that are a permanent financial contribution or commitment applied to and related to the objectives of the housing activity or project assisted through the housing fund and that are used during the same time frame as the requested housing activity or project.</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“Local support” </w:t>
      </w:r>
      <w:r w:rsidRPr="00162839">
        <w:rPr>
          <w:rFonts w:ascii="Arial" w:hAnsi="Arial" w:cs="Arial"/>
          <w:sz w:val="22"/>
          <w:szCs w:val="22"/>
        </w:rPr>
        <w:t>means involvement, endorsement and investment by citizens, organizations and the governing body of the local government in which the housing project is located that promote the objectives of the housing activity or projects assisted through the housing fund.</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“Program income” </w:t>
      </w:r>
      <w:r w:rsidRPr="00162839">
        <w:rPr>
          <w:rFonts w:ascii="Arial" w:hAnsi="Arial" w:cs="Arial"/>
          <w:sz w:val="22"/>
          <w:szCs w:val="22"/>
        </w:rPr>
        <w:t>means funds generated by a recipient or subrecipient from the use of CDBG</w:t>
      </w:r>
      <w:r w:rsidR="00391AB5" w:rsidRPr="00162839">
        <w:rPr>
          <w:rFonts w:ascii="Arial" w:hAnsi="Arial" w:cs="Arial"/>
          <w:sz w:val="22"/>
          <w:szCs w:val="22"/>
        </w:rPr>
        <w:t xml:space="preserve"> </w:t>
      </w:r>
      <w:r w:rsidRPr="00162839">
        <w:rPr>
          <w:rFonts w:ascii="Arial" w:hAnsi="Arial" w:cs="Arial"/>
          <w:sz w:val="22"/>
          <w:szCs w:val="22"/>
        </w:rPr>
        <w:t>funds.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“Recaptured funds” </w:t>
      </w:r>
      <w:r w:rsidRPr="00162839">
        <w:rPr>
          <w:rFonts w:ascii="Arial" w:hAnsi="Arial" w:cs="Arial"/>
          <w:sz w:val="22"/>
          <w:szCs w:val="22"/>
        </w:rPr>
        <w:t>means housing fund moneys which are recouped by the recipient when the housing unit does not continue to be the principal residence of the assisted owner for the full affordability period required by the program.</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“Recipient” </w:t>
      </w:r>
      <w:r w:rsidRPr="00162839">
        <w:rPr>
          <w:rFonts w:ascii="Arial" w:hAnsi="Arial" w:cs="Arial"/>
          <w:sz w:val="22"/>
          <w:szCs w:val="22"/>
        </w:rPr>
        <w:t xml:space="preserve">means the entity under contract with </w:t>
      </w:r>
      <w:r w:rsidR="00631089" w:rsidRPr="00162839">
        <w:rPr>
          <w:rFonts w:ascii="Arial" w:hAnsi="Arial" w:cs="Arial"/>
          <w:sz w:val="22"/>
          <w:szCs w:val="22"/>
        </w:rPr>
        <w:t>IEDA</w:t>
      </w:r>
      <w:r w:rsidRPr="00162839">
        <w:rPr>
          <w:rFonts w:ascii="Arial" w:hAnsi="Arial" w:cs="Arial"/>
          <w:sz w:val="22"/>
          <w:szCs w:val="22"/>
        </w:rPr>
        <w:t xml:space="preserve"> to receive housing funds and undertake the funded housing activity.</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lastRenderedPageBreak/>
        <w:t xml:space="preserve">“Repayment” </w:t>
      </w:r>
      <w:r w:rsidRPr="00162839">
        <w:rPr>
          <w:rFonts w:ascii="Arial" w:hAnsi="Arial" w:cs="Arial"/>
          <w:sz w:val="22"/>
          <w:szCs w:val="22"/>
        </w:rPr>
        <w:t xml:space="preserve">means housing fund moneys which the recipient must repay to </w:t>
      </w:r>
      <w:r w:rsidR="00631089" w:rsidRPr="00162839">
        <w:rPr>
          <w:rFonts w:ascii="Arial" w:hAnsi="Arial" w:cs="Arial"/>
          <w:sz w:val="22"/>
          <w:szCs w:val="22"/>
        </w:rPr>
        <w:t>IEDA</w:t>
      </w:r>
      <w:r w:rsidRPr="00162839">
        <w:rPr>
          <w:rFonts w:ascii="Arial" w:hAnsi="Arial" w:cs="Arial"/>
          <w:sz w:val="22"/>
          <w:szCs w:val="22"/>
        </w:rPr>
        <w:t xml:space="preserve"> because the funds were invested in a project or activity that is terminated before completion or were invested in a project or activity which failed to comply with federal requirements.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“Single-family unit” </w:t>
      </w:r>
      <w:r w:rsidRPr="00162839">
        <w:rPr>
          <w:rFonts w:ascii="Arial" w:hAnsi="Arial" w:cs="Arial"/>
          <w:sz w:val="22"/>
          <w:szCs w:val="22"/>
        </w:rPr>
        <w:t>means one dwelling unit designated or constructed to serve only one household or family as the primary residence</w:t>
      </w:r>
      <w:r w:rsidR="008018EF" w:rsidRPr="00162839">
        <w:rPr>
          <w:rFonts w:ascii="Arial" w:hAnsi="Arial" w:cs="Arial"/>
          <w:sz w:val="22"/>
          <w:szCs w:val="22"/>
        </w:rPr>
        <w:t xml:space="preserve">.  </w:t>
      </w:r>
      <w:r w:rsidRPr="00162839">
        <w:rPr>
          <w:rFonts w:ascii="Arial" w:hAnsi="Arial" w:cs="Arial"/>
          <w:sz w:val="22"/>
          <w:szCs w:val="22"/>
        </w:rPr>
        <w:t>Single-family units include a detached single unit, condominium unit, cooperative unit, or combined manufactured housing unit and lot.</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“Single parent” </w:t>
      </w:r>
      <w:r w:rsidRPr="00162839">
        <w:rPr>
          <w:rFonts w:ascii="Arial" w:hAnsi="Arial" w:cs="Arial"/>
          <w:sz w:val="22"/>
          <w:szCs w:val="22"/>
        </w:rPr>
        <w:t>means an individual who (1) is unmarried or is legally separated from a spouse and (2) is pregnant or has one or more minor children for whom the individual has custody or joint custody.</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“Technical services” </w:t>
      </w:r>
      <w:r w:rsidRPr="00162839">
        <w:rPr>
          <w:rFonts w:ascii="Arial" w:hAnsi="Arial" w:cs="Arial"/>
          <w:sz w:val="22"/>
          <w:szCs w:val="22"/>
        </w:rPr>
        <w:t>means all services that are necessary to carry out individual, scattered site activities including but not limited to: (1) conducting initial inspections, (2) work write-up or project specification development, (3) cost estimate preparation, (4) construction supervision associated  with activities that do not require an architect or engineer, (5) lead hazard reduction or lead abatement need determination and oversight, (6) lead hazard reduction or abatement carrying costs, (7) temporary relocation coordination, (8) financing costs such as security agreement preparation and recording or filing fees, (9) processing of individual applications for assistance, (10) income eligibility determination and verification, and (11) project-specific environmental clearance processes.</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i/>
          <w:iCs/>
          <w:sz w:val="22"/>
          <w:szCs w:val="22"/>
        </w:rPr>
        <w:t xml:space="preserve">“Technical services provision” </w:t>
      </w:r>
      <w:r w:rsidRPr="00162839">
        <w:rPr>
          <w:rFonts w:ascii="Arial" w:hAnsi="Arial" w:cs="Arial"/>
          <w:sz w:val="22"/>
          <w:szCs w:val="22"/>
        </w:rPr>
        <w:t>means the cost to provide other individual housing project-related services such as: (1) financing costs (security agreement preparation, recording and filing fees), (2) processing individual applications for assistance, (3) income eligibility determination and verification, and (4) project-specific environmental clearance.</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261—25.3(15) Eligible applicants</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Pr="00162839">
        <w:rPr>
          <w:rFonts w:ascii="Arial" w:hAnsi="Arial" w:cs="Arial"/>
          <w:sz w:val="22"/>
          <w:szCs w:val="22"/>
        </w:rPr>
        <w:t>Eligible applicants shall comply with all requirements in 261—23.5(15)</w:t>
      </w:r>
      <w:r w:rsidR="008018EF" w:rsidRPr="00162839">
        <w:rPr>
          <w:rFonts w:ascii="Arial" w:hAnsi="Arial" w:cs="Arial"/>
          <w:sz w:val="22"/>
          <w:szCs w:val="22"/>
        </w:rPr>
        <w:t xml:space="preserve">.  </w:t>
      </w:r>
      <w:r w:rsidRPr="00162839">
        <w:rPr>
          <w:rFonts w:ascii="Arial" w:hAnsi="Arial" w:cs="Arial"/>
          <w:sz w:val="22"/>
          <w:szCs w:val="22"/>
        </w:rPr>
        <w:t>Eligible applicants for housing fund assistance include all non-entitlement incorporated cities and all counties within the state of Iowa.</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sz w:val="22"/>
          <w:szCs w:val="22"/>
        </w:rPr>
        <w:t>1. Any eligible applicant may apply directly.</w:t>
      </w:r>
    </w:p>
    <w:p w:rsidR="00236852" w:rsidRPr="00162839" w:rsidRDefault="00236852" w:rsidP="00162839">
      <w:pPr>
        <w:autoSpaceDE w:val="0"/>
        <w:autoSpaceDN w:val="0"/>
        <w:adjustRightInd w:val="0"/>
        <w:spacing w:after="120"/>
        <w:ind w:left="180"/>
        <w:rPr>
          <w:rFonts w:ascii="Arial" w:hAnsi="Arial" w:cs="Arial"/>
          <w:sz w:val="22"/>
          <w:szCs w:val="22"/>
        </w:rPr>
      </w:pPr>
      <w:r w:rsidRPr="00162839">
        <w:rPr>
          <w:rFonts w:ascii="Arial" w:hAnsi="Arial" w:cs="Arial"/>
          <w:sz w:val="22"/>
          <w:szCs w:val="22"/>
        </w:rPr>
        <w:t>2. Any eligible applicant may apply individually or jointly with another eligible applicant or other eligible applicants.</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b/>
          <w:bCs/>
          <w:sz w:val="22"/>
          <w:szCs w:val="22"/>
        </w:rPr>
      </w:pPr>
      <w:proofErr w:type="gramStart"/>
      <w:r w:rsidRPr="00162839">
        <w:rPr>
          <w:rFonts w:ascii="Arial" w:hAnsi="Arial" w:cs="Arial"/>
          <w:b/>
          <w:bCs/>
          <w:sz w:val="22"/>
          <w:szCs w:val="22"/>
        </w:rPr>
        <w:t>261—25.4(15) Eligibility and forms of assistance.</w:t>
      </w:r>
      <w:proofErr w:type="gramEnd"/>
    </w:p>
    <w:p w:rsidR="00236852" w:rsidRPr="00162839" w:rsidRDefault="00236852" w:rsidP="00162839">
      <w:pPr>
        <w:pStyle w:val="ListParagraph"/>
        <w:numPr>
          <w:ilvl w:val="0"/>
          <w:numId w:val="2"/>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only eligible activity for the housing fund is owner-occupied housing rehabilitation for low- to moderate-income households</w:t>
      </w:r>
      <w:r w:rsidR="008018EF" w:rsidRPr="00162839">
        <w:rPr>
          <w:rFonts w:ascii="Arial" w:hAnsi="Arial" w:cs="Arial"/>
          <w:sz w:val="22"/>
          <w:szCs w:val="22"/>
        </w:rPr>
        <w:t xml:space="preserve">.  </w:t>
      </w:r>
      <w:r w:rsidRPr="00162839">
        <w:rPr>
          <w:rFonts w:ascii="Arial" w:hAnsi="Arial" w:cs="Arial"/>
          <w:sz w:val="22"/>
          <w:szCs w:val="22"/>
        </w:rPr>
        <w:t>Assisted housing shall be single-family housing designed for occupancy by homeowners as their principal residence</w:t>
      </w:r>
      <w:r w:rsidR="008018EF" w:rsidRPr="00162839">
        <w:rPr>
          <w:rFonts w:ascii="Arial" w:hAnsi="Arial" w:cs="Arial"/>
          <w:sz w:val="22"/>
          <w:szCs w:val="22"/>
        </w:rPr>
        <w:t xml:space="preserve">.  </w:t>
      </w:r>
      <w:r w:rsidRPr="00162839">
        <w:rPr>
          <w:rFonts w:ascii="Arial" w:hAnsi="Arial" w:cs="Arial"/>
          <w:sz w:val="22"/>
          <w:szCs w:val="22"/>
        </w:rPr>
        <w:t>For owner-occupied housing rehabilitation, assisted households shall meet income limits established by federal program requirements</w:t>
      </w:r>
      <w:r w:rsidR="008018EF" w:rsidRPr="00162839">
        <w:rPr>
          <w:rFonts w:ascii="Arial" w:hAnsi="Arial" w:cs="Arial"/>
          <w:sz w:val="22"/>
          <w:szCs w:val="22"/>
        </w:rPr>
        <w:t xml:space="preserve">.  </w:t>
      </w:r>
      <w:r w:rsidRPr="00162839">
        <w:rPr>
          <w:rFonts w:ascii="Arial" w:hAnsi="Arial" w:cs="Arial"/>
          <w:sz w:val="22"/>
          <w:szCs w:val="22"/>
        </w:rPr>
        <w:t>All single-family housing receiving rehabilitation assistance shall be rehabilitated in accordance with any locally adopted building or housing codes, standards, and ordinances</w:t>
      </w:r>
      <w:r w:rsidR="008018EF" w:rsidRPr="00162839">
        <w:rPr>
          <w:rFonts w:ascii="Arial" w:hAnsi="Arial" w:cs="Arial"/>
          <w:sz w:val="22"/>
          <w:szCs w:val="22"/>
        </w:rPr>
        <w:t xml:space="preserve">.  </w:t>
      </w:r>
      <w:r w:rsidRPr="00162839">
        <w:rPr>
          <w:rFonts w:ascii="Arial" w:hAnsi="Arial" w:cs="Arial"/>
          <w:sz w:val="22"/>
          <w:szCs w:val="22"/>
        </w:rPr>
        <w:t>If locally adopted and enforced building or housing codes do not exist, the Iowa Minimum Housing Rehabilitation Standards shall apply.</w:t>
      </w:r>
    </w:p>
    <w:p w:rsidR="00236852" w:rsidRPr="00162839" w:rsidRDefault="00236852" w:rsidP="00162839">
      <w:pPr>
        <w:pStyle w:val="ListParagraph"/>
        <w:numPr>
          <w:ilvl w:val="0"/>
          <w:numId w:val="2"/>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 xml:space="preserve">Eligible forms of </w:t>
      </w:r>
      <w:r w:rsidR="00631089" w:rsidRPr="00162839">
        <w:rPr>
          <w:rFonts w:ascii="Arial" w:hAnsi="Arial" w:cs="Arial"/>
          <w:sz w:val="22"/>
          <w:szCs w:val="22"/>
        </w:rPr>
        <w:t>IEDA</w:t>
      </w:r>
      <w:r w:rsidRPr="00162839">
        <w:rPr>
          <w:rFonts w:ascii="Arial" w:hAnsi="Arial" w:cs="Arial"/>
          <w:sz w:val="22"/>
          <w:szCs w:val="22"/>
        </w:rPr>
        <w:t xml:space="preserve"> assistance to its recipients include grants or other forms of assistance as may be approved by </w:t>
      </w:r>
      <w:r w:rsidR="00631089" w:rsidRPr="00162839">
        <w:rPr>
          <w:rFonts w:ascii="Arial" w:hAnsi="Arial" w:cs="Arial"/>
          <w:sz w:val="22"/>
          <w:szCs w:val="22"/>
        </w:rPr>
        <w:t>IEDA</w:t>
      </w:r>
      <w:r w:rsidRPr="00162839">
        <w:rPr>
          <w:rFonts w:ascii="Arial" w:hAnsi="Arial" w:cs="Arial"/>
          <w:sz w:val="22"/>
          <w:szCs w:val="22"/>
        </w:rPr>
        <w:t>.</w:t>
      </w:r>
    </w:p>
    <w:p w:rsidR="00236852" w:rsidRPr="00162839" w:rsidRDefault="00236852" w:rsidP="00162839">
      <w:pPr>
        <w:pStyle w:val="ListParagraph"/>
        <w:numPr>
          <w:ilvl w:val="0"/>
          <w:numId w:val="2"/>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For all single-family housing renovation projects assisting homeowners, the only form of housing fund assistance to the end beneficiary is a forgivable loan.</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162839" w:rsidRDefault="00162839" w:rsidP="00162839">
      <w:pPr>
        <w:autoSpaceDE w:val="0"/>
        <w:autoSpaceDN w:val="0"/>
        <w:adjustRightInd w:val="0"/>
        <w:spacing w:after="120"/>
        <w:rPr>
          <w:rFonts w:ascii="Arial" w:hAnsi="Arial" w:cs="Arial"/>
          <w:b/>
          <w:bCs/>
          <w:sz w:val="22"/>
          <w:szCs w:val="22"/>
        </w:rPr>
        <w:sectPr w:rsidR="00162839" w:rsidSect="0063292C">
          <w:headerReference w:type="default" r:id="rId7"/>
          <w:footerReference w:type="default" r:id="rId8"/>
          <w:pgSz w:w="12240" w:h="15840"/>
          <w:pgMar w:top="1440" w:right="1080" w:bottom="1440" w:left="1080" w:header="720" w:footer="720" w:gutter="0"/>
          <w:pgNumType w:start="27"/>
          <w:cols w:space="720"/>
          <w:docGrid w:linePitch="360"/>
        </w:sectPr>
      </w:pP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lastRenderedPageBreak/>
        <w:t>261—25.5(15) Application review</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Pr="00162839">
        <w:rPr>
          <w:rFonts w:ascii="Arial" w:hAnsi="Arial" w:cs="Arial"/>
          <w:sz w:val="22"/>
          <w:szCs w:val="22"/>
        </w:rPr>
        <w:t>Housing fund applications shall be reviewed through an annual competition</w:t>
      </w:r>
      <w:r w:rsidR="008018EF" w:rsidRPr="00162839">
        <w:rPr>
          <w:rFonts w:ascii="Arial" w:hAnsi="Arial" w:cs="Arial"/>
          <w:sz w:val="22"/>
          <w:szCs w:val="22"/>
        </w:rPr>
        <w:t xml:space="preserve">.  </w:t>
      </w:r>
      <w:r w:rsidR="00631089" w:rsidRPr="00162839">
        <w:rPr>
          <w:rFonts w:ascii="Arial" w:hAnsi="Arial" w:cs="Arial"/>
          <w:sz w:val="22"/>
          <w:szCs w:val="22"/>
        </w:rPr>
        <w:t>IEDA</w:t>
      </w:r>
      <w:r w:rsidRPr="00162839">
        <w:rPr>
          <w:rFonts w:ascii="Arial" w:hAnsi="Arial" w:cs="Arial"/>
          <w:sz w:val="22"/>
          <w:szCs w:val="22"/>
        </w:rPr>
        <w:t xml:space="preserve"> reserves the right to withhold funding from the annual housing fund competitive cycle to compensate for insufficient numbers or quality of applications received and to reallocate de-obligated or recaptured funds</w:t>
      </w:r>
      <w:r w:rsidR="008018EF" w:rsidRPr="00162839">
        <w:rPr>
          <w:rFonts w:ascii="Arial" w:hAnsi="Arial" w:cs="Arial"/>
          <w:sz w:val="22"/>
          <w:szCs w:val="22"/>
        </w:rPr>
        <w:t xml:space="preserve">.  </w:t>
      </w:r>
      <w:r w:rsidRPr="00162839">
        <w:rPr>
          <w:rFonts w:ascii="Arial" w:hAnsi="Arial" w:cs="Arial"/>
          <w:sz w:val="22"/>
          <w:szCs w:val="22"/>
        </w:rPr>
        <w:t xml:space="preserve">In the event that funds are withheld from the annual competitive cycle, </w:t>
      </w:r>
      <w:r w:rsidR="00631089" w:rsidRPr="00162839">
        <w:rPr>
          <w:rFonts w:ascii="Arial" w:hAnsi="Arial" w:cs="Arial"/>
          <w:sz w:val="22"/>
          <w:szCs w:val="22"/>
        </w:rPr>
        <w:t>IEDA</w:t>
      </w:r>
      <w:r w:rsidRPr="00162839">
        <w:rPr>
          <w:rFonts w:ascii="Arial" w:hAnsi="Arial" w:cs="Arial"/>
          <w:sz w:val="22"/>
          <w:szCs w:val="22"/>
        </w:rPr>
        <w:t xml:space="preserve"> will entertain additional applications, requests for proposals, or other forms of requests as deemed appropriate by </w:t>
      </w:r>
      <w:r w:rsidR="00631089" w:rsidRPr="00162839">
        <w:rPr>
          <w:rFonts w:ascii="Arial" w:hAnsi="Arial" w:cs="Arial"/>
          <w:sz w:val="22"/>
          <w:szCs w:val="22"/>
        </w:rPr>
        <w:t>IEDA</w:t>
      </w:r>
      <w:r w:rsidRPr="00162839">
        <w:rPr>
          <w:rFonts w:ascii="Arial" w:hAnsi="Arial" w:cs="Arial"/>
          <w:sz w:val="22"/>
          <w:szCs w:val="22"/>
        </w:rPr>
        <w:t>.</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261—25.6(15) Minimum application requirements</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Pr="00162839">
        <w:rPr>
          <w:rFonts w:ascii="Arial" w:hAnsi="Arial" w:cs="Arial"/>
          <w:sz w:val="22"/>
          <w:szCs w:val="22"/>
        </w:rPr>
        <w:t>To be considered for housing fund assistance, an application shall meet the following threshold criteria:</w:t>
      </w:r>
    </w:p>
    <w:p w:rsidR="00236852" w:rsidRPr="00162839" w:rsidRDefault="00236852" w:rsidP="00162839">
      <w:pPr>
        <w:pStyle w:val="ListParagraph"/>
        <w:numPr>
          <w:ilvl w:val="0"/>
          <w:numId w:val="4"/>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application shall propose an owner-occupied housing rehabilitation program consistent with the housing fund purpose and eligibility requirements, sustainability and smart growth principles, and the state consolidated plan.</w:t>
      </w:r>
    </w:p>
    <w:p w:rsidR="00236852" w:rsidRPr="00162839" w:rsidRDefault="00236852" w:rsidP="00162839">
      <w:pPr>
        <w:pStyle w:val="ListParagraph"/>
        <w:numPr>
          <w:ilvl w:val="0"/>
          <w:numId w:val="4"/>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application shall document the applicant’s capacity to administer the proposed activity</w:t>
      </w:r>
      <w:r w:rsidR="008018EF" w:rsidRPr="00162839">
        <w:rPr>
          <w:rFonts w:ascii="Arial" w:hAnsi="Arial" w:cs="Arial"/>
          <w:sz w:val="22"/>
          <w:szCs w:val="22"/>
        </w:rPr>
        <w:t xml:space="preserve">.  </w:t>
      </w:r>
      <w:r w:rsidRPr="00162839">
        <w:rPr>
          <w:rFonts w:ascii="Arial" w:hAnsi="Arial" w:cs="Arial"/>
          <w:sz w:val="22"/>
          <w:szCs w:val="22"/>
        </w:rPr>
        <w:t>Such documentation may include evidence of successful administration of prior housing activities</w:t>
      </w:r>
      <w:r w:rsidR="008018EF" w:rsidRPr="00162839">
        <w:rPr>
          <w:rFonts w:ascii="Arial" w:hAnsi="Arial" w:cs="Arial"/>
          <w:sz w:val="22"/>
          <w:szCs w:val="22"/>
        </w:rPr>
        <w:t xml:space="preserve">.  </w:t>
      </w:r>
      <w:r w:rsidR="00631089" w:rsidRPr="00162839">
        <w:rPr>
          <w:rFonts w:ascii="Arial" w:hAnsi="Arial" w:cs="Arial"/>
          <w:sz w:val="22"/>
          <w:szCs w:val="22"/>
        </w:rPr>
        <w:t>IEDA</w:t>
      </w:r>
      <w:r w:rsidRPr="00162839">
        <w:rPr>
          <w:rFonts w:ascii="Arial" w:hAnsi="Arial" w:cs="Arial"/>
          <w:sz w:val="22"/>
          <w:szCs w:val="22"/>
        </w:rPr>
        <w:t xml:space="preserve"> reserves the right to deny funding to an applicant that has failed to comply with federal and state requirements in the administration of a previous project funded by </w:t>
      </w:r>
      <w:r w:rsidR="00631089" w:rsidRPr="00162839">
        <w:rPr>
          <w:rFonts w:ascii="Arial" w:hAnsi="Arial" w:cs="Arial"/>
          <w:sz w:val="22"/>
          <w:szCs w:val="22"/>
        </w:rPr>
        <w:t>IEDA</w:t>
      </w:r>
      <w:r w:rsidR="008018EF" w:rsidRPr="00162839">
        <w:rPr>
          <w:rFonts w:ascii="Arial" w:hAnsi="Arial" w:cs="Arial"/>
          <w:sz w:val="22"/>
          <w:szCs w:val="22"/>
        </w:rPr>
        <w:t xml:space="preserve">.  </w:t>
      </w:r>
      <w:r w:rsidRPr="00162839">
        <w:rPr>
          <w:rFonts w:ascii="Arial" w:hAnsi="Arial" w:cs="Arial"/>
          <w:sz w:val="22"/>
          <w:szCs w:val="22"/>
        </w:rPr>
        <w:t>Documentation of the ability of the applicant to provide technical services and of the availability of certified lead professionals and contractors trained in safe work practices may also be required as applicable to the housing fund activity.</w:t>
      </w:r>
    </w:p>
    <w:p w:rsidR="00236852" w:rsidRPr="00162839" w:rsidRDefault="00236852" w:rsidP="00162839">
      <w:pPr>
        <w:pStyle w:val="ListParagraph"/>
        <w:numPr>
          <w:ilvl w:val="0"/>
          <w:numId w:val="4"/>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application shall provide evidence of the need for the proposed activity, the potential impact of the proposed activity, consistency with sustainability and smart growth principles, and the feasibility of the proposed activity.</w:t>
      </w:r>
    </w:p>
    <w:p w:rsidR="00236852" w:rsidRPr="00162839" w:rsidRDefault="00236852" w:rsidP="00162839">
      <w:pPr>
        <w:pStyle w:val="ListParagraph"/>
        <w:numPr>
          <w:ilvl w:val="0"/>
          <w:numId w:val="4"/>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application shall demonstrate local support for the proposed activity.</w:t>
      </w:r>
    </w:p>
    <w:p w:rsidR="00236852" w:rsidRPr="00162839" w:rsidRDefault="00236852" w:rsidP="00162839">
      <w:pPr>
        <w:pStyle w:val="ListParagraph"/>
        <w:numPr>
          <w:ilvl w:val="0"/>
          <w:numId w:val="4"/>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The application shall include a certification that the applicant will comply with all applicable state and federal laws and regulations.</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8418B</w:t>
      </w:r>
      <w:r w:rsidRPr="00162839">
        <w:rPr>
          <w:rFonts w:ascii="Arial" w:hAnsi="Arial" w:cs="Arial"/>
          <w:szCs w:val="22"/>
        </w:rPr>
        <w:t xml:space="preserve">, IAB 12/30/09, effective 2/3/10; </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261—25.7(15) Application review criteria</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00631089" w:rsidRPr="00162839">
        <w:rPr>
          <w:rFonts w:ascii="Arial" w:hAnsi="Arial" w:cs="Arial"/>
          <w:sz w:val="22"/>
          <w:szCs w:val="22"/>
        </w:rPr>
        <w:t>IEDA</w:t>
      </w:r>
      <w:r w:rsidRPr="00162839">
        <w:rPr>
          <w:rFonts w:ascii="Arial" w:hAnsi="Arial" w:cs="Arial"/>
          <w:sz w:val="22"/>
          <w:szCs w:val="22"/>
        </w:rPr>
        <w:t xml:space="preserve"> shall evaluate applications and make funding decisions based on general activity criteria, need, impact, sustainability and feasibility</w:t>
      </w:r>
      <w:r w:rsidR="008018EF" w:rsidRPr="00162839">
        <w:rPr>
          <w:rFonts w:ascii="Arial" w:hAnsi="Arial" w:cs="Arial"/>
          <w:sz w:val="22"/>
          <w:szCs w:val="22"/>
        </w:rPr>
        <w:t xml:space="preserve">.  </w:t>
      </w:r>
      <w:r w:rsidRPr="00162839">
        <w:rPr>
          <w:rFonts w:ascii="Arial" w:hAnsi="Arial" w:cs="Arial"/>
          <w:sz w:val="22"/>
          <w:szCs w:val="22"/>
        </w:rPr>
        <w:t>A workshop will be held at least 60 days prior to the application deadline to provide information, materials, and technical assistance to potential applicants.</w:t>
      </w:r>
    </w:p>
    <w:p w:rsidR="00236852" w:rsidRPr="00162839" w:rsidRDefault="00236852" w:rsidP="00162839">
      <w:pPr>
        <w:pStyle w:val="ListParagraph"/>
        <w:numPr>
          <w:ilvl w:val="0"/>
          <w:numId w:val="6"/>
        </w:numPr>
        <w:autoSpaceDE w:val="0"/>
        <w:autoSpaceDN w:val="0"/>
        <w:adjustRightInd w:val="0"/>
        <w:spacing w:after="120"/>
        <w:ind w:left="450" w:hanging="270"/>
        <w:rPr>
          <w:rFonts w:ascii="Arial" w:hAnsi="Arial" w:cs="Arial"/>
          <w:sz w:val="22"/>
          <w:szCs w:val="22"/>
        </w:rPr>
      </w:pPr>
      <w:r w:rsidRPr="00162839">
        <w:rPr>
          <w:rFonts w:ascii="Arial" w:hAnsi="Arial" w:cs="Arial"/>
          <w:sz w:val="22"/>
          <w:szCs w:val="22"/>
        </w:rPr>
        <w:t>As applicable, the review criteria for owner-occupied housing rehabilitation applications shall include the following:</w:t>
      </w:r>
    </w:p>
    <w:p w:rsidR="00236852" w:rsidRPr="00162839" w:rsidRDefault="00236852" w:rsidP="00162839">
      <w:pPr>
        <w:pStyle w:val="ListParagraph"/>
        <w:numPr>
          <w:ilvl w:val="1"/>
          <w:numId w:val="8"/>
        </w:numPr>
        <w:autoSpaceDE w:val="0"/>
        <w:autoSpaceDN w:val="0"/>
        <w:adjustRightInd w:val="0"/>
        <w:spacing w:after="120"/>
        <w:ind w:left="1080"/>
        <w:rPr>
          <w:rFonts w:ascii="Arial" w:hAnsi="Arial" w:cs="Arial"/>
          <w:i/>
          <w:iCs/>
          <w:sz w:val="22"/>
          <w:szCs w:val="22"/>
        </w:rPr>
      </w:pPr>
      <w:r w:rsidRPr="00162839">
        <w:rPr>
          <w:rFonts w:ascii="Arial" w:hAnsi="Arial" w:cs="Arial"/>
          <w:i/>
          <w:iCs/>
          <w:sz w:val="22"/>
          <w:szCs w:val="22"/>
        </w:rPr>
        <w:t>General criteria.</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Activity objectives.</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Target area of benefit and reason for selection.</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Condition of infrastructure in the activity area served.</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Form of assistance to homeowners.</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Selection criteria for participants.</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Method to determine that the property is the homeowner’s principal residence.</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Assurance of compliance with the most current version of Iowa’s Minimum Housing Rehabilitation Standards.</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Assurance of compliance with HUD lead-safe housing regulations, as applicable.</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Plans for properties infeasible to rehabilitate.</w:t>
      </w:r>
    </w:p>
    <w:p w:rsidR="00236852" w:rsidRPr="00162839" w:rsidRDefault="00236852" w:rsidP="00162839">
      <w:pPr>
        <w:pStyle w:val="ListParagraph"/>
        <w:numPr>
          <w:ilvl w:val="0"/>
          <w:numId w:val="9"/>
        </w:numPr>
        <w:autoSpaceDE w:val="0"/>
        <w:autoSpaceDN w:val="0"/>
        <w:adjustRightInd w:val="0"/>
        <w:spacing w:after="120"/>
        <w:ind w:left="1260"/>
        <w:rPr>
          <w:rFonts w:ascii="Arial" w:hAnsi="Arial" w:cs="Arial"/>
          <w:sz w:val="22"/>
          <w:szCs w:val="22"/>
        </w:rPr>
      </w:pPr>
      <w:r w:rsidRPr="00162839">
        <w:rPr>
          <w:rFonts w:ascii="Arial" w:hAnsi="Arial" w:cs="Arial"/>
          <w:sz w:val="22"/>
          <w:szCs w:val="22"/>
        </w:rPr>
        <w:t>Activity time line.</w:t>
      </w:r>
    </w:p>
    <w:p w:rsidR="00236852" w:rsidRPr="00162839" w:rsidRDefault="00236852" w:rsidP="00162839">
      <w:pPr>
        <w:pStyle w:val="ListParagraph"/>
        <w:numPr>
          <w:ilvl w:val="1"/>
          <w:numId w:val="8"/>
        </w:numPr>
        <w:autoSpaceDE w:val="0"/>
        <w:autoSpaceDN w:val="0"/>
        <w:adjustRightInd w:val="0"/>
        <w:spacing w:after="120"/>
        <w:ind w:left="1080"/>
        <w:rPr>
          <w:rFonts w:ascii="Arial" w:hAnsi="Arial" w:cs="Arial"/>
          <w:i/>
          <w:iCs/>
          <w:sz w:val="22"/>
          <w:szCs w:val="22"/>
        </w:rPr>
      </w:pPr>
      <w:r w:rsidRPr="00162839">
        <w:rPr>
          <w:rFonts w:ascii="Arial" w:hAnsi="Arial" w:cs="Arial"/>
          <w:i/>
          <w:iCs/>
          <w:sz w:val="22"/>
          <w:szCs w:val="22"/>
        </w:rPr>
        <w:t>Need, impact and feasibility criteria.</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Evidence of need for the activity.</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Percentage of need to be met through the activity.</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Number and percentage of low- and moderate-income persons in the community.</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lastRenderedPageBreak/>
        <w:t>Housing costs, housing supply, vacancy rate of owner-occupied units in the activity area served.</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Other recent or current housing improvement activities in the community.</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Ongoing comprehensive community development efforts in the activity area served.</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New businesses or industries in the past five years in the community, including startup dates.</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Local involvement and financial support.</w:t>
      </w:r>
    </w:p>
    <w:p w:rsidR="00236852" w:rsidRPr="00162839" w:rsidRDefault="00236852" w:rsidP="00162839">
      <w:pPr>
        <w:pStyle w:val="ListParagraph"/>
        <w:numPr>
          <w:ilvl w:val="0"/>
          <w:numId w:val="13"/>
        </w:numPr>
        <w:autoSpaceDE w:val="0"/>
        <w:autoSpaceDN w:val="0"/>
        <w:adjustRightInd w:val="0"/>
        <w:spacing w:after="120"/>
        <w:ind w:left="1260"/>
        <w:rPr>
          <w:rFonts w:ascii="Arial" w:hAnsi="Arial" w:cs="Arial"/>
          <w:sz w:val="22"/>
          <w:szCs w:val="22"/>
        </w:rPr>
      </w:pPr>
      <w:r w:rsidRPr="00162839">
        <w:rPr>
          <w:rFonts w:ascii="Arial" w:hAnsi="Arial" w:cs="Arial"/>
          <w:sz w:val="22"/>
          <w:szCs w:val="22"/>
        </w:rPr>
        <w:t>Condition of housing in the target area in the following criteria:</w:t>
      </w:r>
    </w:p>
    <w:p w:rsidR="00236852" w:rsidRPr="00162839" w:rsidRDefault="00236852" w:rsidP="00162839">
      <w:pPr>
        <w:pStyle w:val="ListParagraph"/>
        <w:numPr>
          <w:ilvl w:val="1"/>
          <w:numId w:val="14"/>
        </w:numPr>
        <w:autoSpaceDE w:val="0"/>
        <w:autoSpaceDN w:val="0"/>
        <w:adjustRightInd w:val="0"/>
        <w:spacing w:after="120"/>
        <w:rPr>
          <w:rFonts w:ascii="Arial" w:hAnsi="Arial" w:cs="Arial"/>
          <w:sz w:val="22"/>
          <w:szCs w:val="22"/>
        </w:rPr>
      </w:pPr>
      <w:r w:rsidRPr="00162839">
        <w:rPr>
          <w:rFonts w:ascii="Arial" w:hAnsi="Arial" w:cs="Arial"/>
          <w:sz w:val="22"/>
          <w:szCs w:val="22"/>
        </w:rPr>
        <w:t>Number of housing units with minor deficiencies.</w:t>
      </w:r>
    </w:p>
    <w:p w:rsidR="00236852" w:rsidRPr="00162839" w:rsidRDefault="00236852" w:rsidP="00162839">
      <w:pPr>
        <w:pStyle w:val="ListParagraph"/>
        <w:numPr>
          <w:ilvl w:val="1"/>
          <w:numId w:val="14"/>
        </w:numPr>
        <w:autoSpaceDE w:val="0"/>
        <w:autoSpaceDN w:val="0"/>
        <w:adjustRightInd w:val="0"/>
        <w:spacing w:after="120"/>
        <w:rPr>
          <w:rFonts w:ascii="Arial" w:hAnsi="Arial" w:cs="Arial"/>
          <w:sz w:val="22"/>
          <w:szCs w:val="22"/>
        </w:rPr>
      </w:pPr>
      <w:r w:rsidRPr="00162839">
        <w:rPr>
          <w:rFonts w:ascii="Arial" w:hAnsi="Arial" w:cs="Arial"/>
          <w:sz w:val="22"/>
          <w:szCs w:val="22"/>
        </w:rPr>
        <w:t>Number of housing units requiring replacement of one or two of the major components.</w:t>
      </w:r>
    </w:p>
    <w:p w:rsidR="00236852" w:rsidRPr="00162839" w:rsidRDefault="00236852" w:rsidP="00162839">
      <w:pPr>
        <w:pStyle w:val="ListParagraph"/>
        <w:numPr>
          <w:ilvl w:val="1"/>
          <w:numId w:val="14"/>
        </w:numPr>
        <w:autoSpaceDE w:val="0"/>
        <w:autoSpaceDN w:val="0"/>
        <w:adjustRightInd w:val="0"/>
        <w:spacing w:after="120"/>
        <w:rPr>
          <w:rFonts w:ascii="Arial" w:hAnsi="Arial" w:cs="Arial"/>
          <w:sz w:val="22"/>
          <w:szCs w:val="22"/>
        </w:rPr>
      </w:pPr>
      <w:r w:rsidRPr="00162839">
        <w:rPr>
          <w:rFonts w:ascii="Arial" w:hAnsi="Arial" w:cs="Arial"/>
          <w:sz w:val="22"/>
          <w:szCs w:val="22"/>
        </w:rPr>
        <w:t>Number of housing units requiring both replacement of several major components and structural work.</w:t>
      </w:r>
    </w:p>
    <w:p w:rsidR="00236852" w:rsidRPr="00162839" w:rsidRDefault="00236852" w:rsidP="00162839">
      <w:pPr>
        <w:pStyle w:val="ListParagraph"/>
        <w:numPr>
          <w:ilvl w:val="1"/>
          <w:numId w:val="14"/>
        </w:numPr>
        <w:autoSpaceDE w:val="0"/>
        <w:autoSpaceDN w:val="0"/>
        <w:adjustRightInd w:val="0"/>
        <w:spacing w:after="120"/>
        <w:rPr>
          <w:rFonts w:ascii="Arial" w:hAnsi="Arial" w:cs="Arial"/>
          <w:sz w:val="22"/>
          <w:szCs w:val="22"/>
        </w:rPr>
      </w:pPr>
      <w:r w:rsidRPr="00162839">
        <w:rPr>
          <w:rFonts w:ascii="Arial" w:hAnsi="Arial" w:cs="Arial"/>
          <w:sz w:val="22"/>
          <w:szCs w:val="22"/>
        </w:rPr>
        <w:t>Number of dilapidated housing units.</w:t>
      </w:r>
    </w:p>
    <w:p w:rsidR="00236852" w:rsidRPr="00162839" w:rsidRDefault="00236852" w:rsidP="00162839">
      <w:pPr>
        <w:pStyle w:val="ListParagraph"/>
        <w:numPr>
          <w:ilvl w:val="1"/>
          <w:numId w:val="8"/>
        </w:numPr>
        <w:autoSpaceDE w:val="0"/>
        <w:autoSpaceDN w:val="0"/>
        <w:adjustRightInd w:val="0"/>
        <w:spacing w:after="120"/>
        <w:ind w:left="1080"/>
        <w:rPr>
          <w:rFonts w:ascii="Arial" w:hAnsi="Arial" w:cs="Arial"/>
          <w:i/>
          <w:iCs/>
          <w:sz w:val="22"/>
          <w:szCs w:val="22"/>
        </w:rPr>
      </w:pPr>
      <w:r w:rsidRPr="00162839">
        <w:rPr>
          <w:rFonts w:ascii="Arial" w:hAnsi="Arial" w:cs="Arial"/>
          <w:i/>
          <w:iCs/>
          <w:sz w:val="22"/>
          <w:szCs w:val="22"/>
        </w:rPr>
        <w:t>Administrative criteria.</w:t>
      </w:r>
    </w:p>
    <w:p w:rsidR="00236852" w:rsidRPr="00162839" w:rsidRDefault="00236852" w:rsidP="00162839">
      <w:pPr>
        <w:pStyle w:val="ListParagraph"/>
        <w:numPr>
          <w:ilvl w:val="0"/>
          <w:numId w:val="16"/>
        </w:numPr>
        <w:autoSpaceDE w:val="0"/>
        <w:autoSpaceDN w:val="0"/>
        <w:adjustRightInd w:val="0"/>
        <w:spacing w:after="120"/>
        <w:ind w:left="1260"/>
        <w:rPr>
          <w:rFonts w:ascii="Arial" w:hAnsi="Arial" w:cs="Arial"/>
          <w:sz w:val="22"/>
          <w:szCs w:val="22"/>
        </w:rPr>
      </w:pPr>
      <w:r w:rsidRPr="00162839">
        <w:rPr>
          <w:rFonts w:ascii="Arial" w:hAnsi="Arial" w:cs="Arial"/>
          <w:sz w:val="22"/>
          <w:szCs w:val="22"/>
        </w:rPr>
        <w:t>Plan for activity administration.</w:t>
      </w:r>
    </w:p>
    <w:p w:rsidR="00236852" w:rsidRPr="00162839" w:rsidRDefault="00236852" w:rsidP="00162839">
      <w:pPr>
        <w:pStyle w:val="ListParagraph"/>
        <w:numPr>
          <w:ilvl w:val="0"/>
          <w:numId w:val="16"/>
        </w:numPr>
        <w:autoSpaceDE w:val="0"/>
        <w:autoSpaceDN w:val="0"/>
        <w:adjustRightInd w:val="0"/>
        <w:spacing w:after="120"/>
        <w:ind w:left="1260"/>
        <w:rPr>
          <w:rFonts w:ascii="Arial" w:hAnsi="Arial" w:cs="Arial"/>
          <w:sz w:val="22"/>
          <w:szCs w:val="22"/>
        </w:rPr>
      </w:pPr>
      <w:r w:rsidRPr="00162839">
        <w:rPr>
          <w:rFonts w:ascii="Arial" w:hAnsi="Arial" w:cs="Arial"/>
          <w:sz w:val="22"/>
          <w:szCs w:val="22"/>
        </w:rPr>
        <w:t>Previous activity management experience.</w:t>
      </w:r>
    </w:p>
    <w:p w:rsidR="00236852" w:rsidRPr="00162839" w:rsidRDefault="00236852" w:rsidP="00162839">
      <w:pPr>
        <w:pStyle w:val="ListParagraph"/>
        <w:numPr>
          <w:ilvl w:val="0"/>
          <w:numId w:val="16"/>
        </w:numPr>
        <w:autoSpaceDE w:val="0"/>
        <w:autoSpaceDN w:val="0"/>
        <w:adjustRightInd w:val="0"/>
        <w:spacing w:after="120"/>
        <w:ind w:left="1260"/>
        <w:rPr>
          <w:rFonts w:ascii="Arial" w:hAnsi="Arial" w:cs="Arial"/>
          <w:sz w:val="22"/>
          <w:szCs w:val="22"/>
        </w:rPr>
      </w:pPr>
      <w:r w:rsidRPr="00162839">
        <w:rPr>
          <w:rFonts w:ascii="Arial" w:hAnsi="Arial" w:cs="Arial"/>
          <w:sz w:val="22"/>
          <w:szCs w:val="22"/>
        </w:rPr>
        <w:t>Budget for general administration.</w:t>
      </w:r>
    </w:p>
    <w:p w:rsidR="00236852" w:rsidRPr="00162839" w:rsidRDefault="00236852" w:rsidP="00162839">
      <w:pPr>
        <w:pStyle w:val="ListParagraph"/>
        <w:numPr>
          <w:ilvl w:val="0"/>
          <w:numId w:val="16"/>
        </w:numPr>
        <w:autoSpaceDE w:val="0"/>
        <w:autoSpaceDN w:val="0"/>
        <w:adjustRightInd w:val="0"/>
        <w:spacing w:after="120"/>
        <w:ind w:left="1260"/>
        <w:rPr>
          <w:rFonts w:ascii="Arial" w:hAnsi="Arial" w:cs="Arial"/>
          <w:sz w:val="22"/>
          <w:szCs w:val="22"/>
        </w:rPr>
      </w:pPr>
      <w:r w:rsidRPr="00162839">
        <w:rPr>
          <w:rFonts w:ascii="Arial" w:hAnsi="Arial" w:cs="Arial"/>
          <w:sz w:val="22"/>
          <w:szCs w:val="22"/>
        </w:rPr>
        <w:t>Budget for technical services assistance.</w:t>
      </w:r>
    </w:p>
    <w:p w:rsidR="00236852" w:rsidRPr="00162839" w:rsidRDefault="00236852" w:rsidP="00162839">
      <w:pPr>
        <w:pStyle w:val="ListParagraph"/>
        <w:numPr>
          <w:ilvl w:val="0"/>
          <w:numId w:val="16"/>
        </w:numPr>
        <w:autoSpaceDE w:val="0"/>
        <w:autoSpaceDN w:val="0"/>
        <w:adjustRightInd w:val="0"/>
        <w:spacing w:after="120"/>
        <w:ind w:left="1260"/>
        <w:rPr>
          <w:rFonts w:ascii="Arial" w:hAnsi="Arial" w:cs="Arial"/>
          <w:sz w:val="22"/>
          <w:szCs w:val="22"/>
        </w:rPr>
      </w:pPr>
      <w:r w:rsidRPr="00162839">
        <w:rPr>
          <w:rFonts w:ascii="Arial" w:hAnsi="Arial" w:cs="Arial"/>
          <w:sz w:val="22"/>
          <w:szCs w:val="22"/>
        </w:rPr>
        <w:t>List of prior CDBG owner-occupied rehabilitation funding and performance targets completed.</w:t>
      </w:r>
    </w:p>
    <w:p w:rsidR="00236852" w:rsidRPr="00162839" w:rsidRDefault="00631089" w:rsidP="00162839">
      <w:pPr>
        <w:pStyle w:val="ListParagraph"/>
        <w:numPr>
          <w:ilvl w:val="0"/>
          <w:numId w:val="14"/>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IEDA</w:t>
      </w:r>
      <w:r w:rsidR="00236852" w:rsidRPr="00162839">
        <w:rPr>
          <w:rFonts w:ascii="Arial" w:hAnsi="Arial" w:cs="Arial"/>
          <w:sz w:val="22"/>
          <w:szCs w:val="22"/>
        </w:rPr>
        <w:t xml:space="preserve"> staff may conduct site evaluations of proposed activities.</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b/>
          <w:bCs/>
          <w:sz w:val="22"/>
          <w:szCs w:val="22"/>
        </w:rPr>
      </w:pPr>
      <w:proofErr w:type="gramStart"/>
      <w:r w:rsidRPr="00162839">
        <w:rPr>
          <w:rFonts w:ascii="Arial" w:hAnsi="Arial" w:cs="Arial"/>
          <w:b/>
          <w:bCs/>
          <w:sz w:val="22"/>
          <w:szCs w:val="22"/>
        </w:rPr>
        <w:t>261—25.8(15) Allocation of funds.</w:t>
      </w:r>
      <w:proofErr w:type="gramEnd"/>
    </w:p>
    <w:p w:rsidR="00236852" w:rsidRPr="00162839" w:rsidRDefault="00631089" w:rsidP="00162839">
      <w:pPr>
        <w:pStyle w:val="ListParagraph"/>
        <w:numPr>
          <w:ilvl w:val="0"/>
          <w:numId w:val="19"/>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IEDA</w:t>
      </w:r>
      <w:r w:rsidR="00236852" w:rsidRPr="00162839">
        <w:rPr>
          <w:rFonts w:ascii="Arial" w:hAnsi="Arial" w:cs="Arial"/>
          <w:sz w:val="22"/>
          <w:szCs w:val="22"/>
        </w:rPr>
        <w:t xml:space="preserve"> may retain a portion of the amount </w:t>
      </w:r>
      <w:r w:rsidR="008018EF" w:rsidRPr="00162839">
        <w:rPr>
          <w:rFonts w:ascii="Arial" w:hAnsi="Arial" w:cs="Arial"/>
          <w:sz w:val="22"/>
          <w:szCs w:val="22"/>
        </w:rPr>
        <w:t>provided</w:t>
      </w:r>
      <w:r w:rsidR="00236852" w:rsidRPr="00162839">
        <w:rPr>
          <w:rFonts w:ascii="Arial" w:hAnsi="Arial" w:cs="Arial"/>
          <w:sz w:val="22"/>
          <w:szCs w:val="22"/>
        </w:rPr>
        <w:t xml:space="preserve"> for at rule 261—23.4(15) of the state’s</w:t>
      </w:r>
      <w:r w:rsidR="008E6DEF" w:rsidRPr="00162839">
        <w:rPr>
          <w:rFonts w:ascii="Arial" w:hAnsi="Arial" w:cs="Arial"/>
          <w:sz w:val="22"/>
          <w:szCs w:val="22"/>
        </w:rPr>
        <w:t xml:space="preserve"> </w:t>
      </w:r>
      <w:r w:rsidR="00236852" w:rsidRPr="00162839">
        <w:rPr>
          <w:rFonts w:ascii="Arial" w:hAnsi="Arial" w:cs="Arial"/>
          <w:sz w:val="22"/>
          <w:szCs w:val="22"/>
        </w:rPr>
        <w:t>annual CDBG allocation from HUD for administrative costs associated with program implementation</w:t>
      </w:r>
      <w:r w:rsidR="008E6DEF" w:rsidRPr="00162839">
        <w:rPr>
          <w:rFonts w:ascii="Arial" w:hAnsi="Arial" w:cs="Arial"/>
          <w:sz w:val="22"/>
          <w:szCs w:val="22"/>
        </w:rPr>
        <w:t xml:space="preserve"> </w:t>
      </w:r>
      <w:r w:rsidR="00236852" w:rsidRPr="00162839">
        <w:rPr>
          <w:rFonts w:ascii="Arial" w:hAnsi="Arial" w:cs="Arial"/>
          <w:sz w:val="22"/>
          <w:szCs w:val="22"/>
        </w:rPr>
        <w:t>and operation.</w:t>
      </w:r>
    </w:p>
    <w:p w:rsidR="00236852" w:rsidRPr="00162839" w:rsidRDefault="00631089" w:rsidP="00162839">
      <w:pPr>
        <w:pStyle w:val="ListParagraph"/>
        <w:numPr>
          <w:ilvl w:val="0"/>
          <w:numId w:val="19"/>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IEDA</w:t>
      </w:r>
      <w:r w:rsidR="00236852" w:rsidRPr="00162839">
        <w:rPr>
          <w:rFonts w:ascii="Arial" w:hAnsi="Arial" w:cs="Arial"/>
          <w:sz w:val="22"/>
          <w:szCs w:val="22"/>
        </w:rPr>
        <w:t xml:space="preserve"> reserves the right to limit the amount of funds that shall be awarded.</w:t>
      </w:r>
    </w:p>
    <w:p w:rsidR="00236852" w:rsidRPr="00162839" w:rsidRDefault="00236852" w:rsidP="00162839">
      <w:pPr>
        <w:pStyle w:val="ListParagraph"/>
        <w:numPr>
          <w:ilvl w:val="0"/>
          <w:numId w:val="19"/>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The maximum per unit subsidy for all single-family activities involving rehabilitation</w:t>
      </w:r>
      <w:r w:rsidR="008E6DEF" w:rsidRPr="00162839">
        <w:rPr>
          <w:rFonts w:ascii="Arial" w:hAnsi="Arial" w:cs="Arial"/>
          <w:sz w:val="22"/>
          <w:szCs w:val="22"/>
        </w:rPr>
        <w:t xml:space="preserve"> </w:t>
      </w:r>
      <w:r w:rsidRPr="00162839">
        <w:rPr>
          <w:rFonts w:ascii="Arial" w:hAnsi="Arial" w:cs="Arial"/>
          <w:sz w:val="22"/>
          <w:szCs w:val="22"/>
        </w:rPr>
        <w:t>projects is $37,500</w:t>
      </w:r>
      <w:r w:rsidR="008018EF" w:rsidRPr="00162839">
        <w:rPr>
          <w:rFonts w:ascii="Arial" w:hAnsi="Arial" w:cs="Arial"/>
          <w:sz w:val="22"/>
          <w:szCs w:val="22"/>
        </w:rPr>
        <w:t xml:space="preserve">.  </w:t>
      </w:r>
      <w:r w:rsidRPr="00162839">
        <w:rPr>
          <w:rFonts w:ascii="Arial" w:hAnsi="Arial" w:cs="Arial"/>
          <w:sz w:val="22"/>
          <w:szCs w:val="22"/>
        </w:rPr>
        <w:t>The $37,500 per unit limit includes all applicable costs including, but not limited</w:t>
      </w:r>
      <w:r w:rsidR="008E6DEF" w:rsidRPr="00162839">
        <w:rPr>
          <w:rFonts w:ascii="Arial" w:hAnsi="Arial" w:cs="Arial"/>
          <w:sz w:val="22"/>
          <w:szCs w:val="22"/>
        </w:rPr>
        <w:t xml:space="preserve"> </w:t>
      </w:r>
      <w:r w:rsidRPr="00162839">
        <w:rPr>
          <w:rFonts w:ascii="Arial" w:hAnsi="Arial" w:cs="Arial"/>
          <w:sz w:val="22"/>
          <w:szCs w:val="22"/>
        </w:rPr>
        <w:t>to, the hard costs of rehabilitation; technical services costs, including lead hazard reduction carrying</w:t>
      </w:r>
      <w:r w:rsidR="008E6DEF" w:rsidRPr="00162839">
        <w:rPr>
          <w:rFonts w:ascii="Arial" w:hAnsi="Arial" w:cs="Arial"/>
          <w:sz w:val="22"/>
          <w:szCs w:val="22"/>
        </w:rPr>
        <w:t xml:space="preserve"> </w:t>
      </w:r>
      <w:r w:rsidRPr="00162839">
        <w:rPr>
          <w:rFonts w:ascii="Arial" w:hAnsi="Arial" w:cs="Arial"/>
          <w:sz w:val="22"/>
          <w:szCs w:val="22"/>
        </w:rPr>
        <w:t>costs; lead hazard reduction costs; and temporary relocation</w:t>
      </w:r>
      <w:r w:rsidR="008018EF" w:rsidRPr="00162839">
        <w:rPr>
          <w:rFonts w:ascii="Arial" w:hAnsi="Arial" w:cs="Arial"/>
          <w:sz w:val="22"/>
          <w:szCs w:val="22"/>
        </w:rPr>
        <w:t xml:space="preserve">.  </w:t>
      </w:r>
      <w:r w:rsidRPr="00162839">
        <w:rPr>
          <w:rFonts w:ascii="Arial" w:hAnsi="Arial" w:cs="Arial"/>
          <w:sz w:val="22"/>
          <w:szCs w:val="22"/>
        </w:rPr>
        <w:t>All rehabilitation hard costs funded with</w:t>
      </w:r>
      <w:r w:rsidR="008E6DEF" w:rsidRPr="00162839">
        <w:rPr>
          <w:rFonts w:ascii="Arial" w:hAnsi="Arial" w:cs="Arial"/>
          <w:sz w:val="22"/>
          <w:szCs w:val="22"/>
        </w:rPr>
        <w:t xml:space="preserve"> </w:t>
      </w:r>
      <w:r w:rsidRPr="00162839">
        <w:rPr>
          <w:rFonts w:ascii="Arial" w:hAnsi="Arial" w:cs="Arial"/>
          <w:sz w:val="22"/>
          <w:szCs w:val="22"/>
        </w:rPr>
        <w:t>housing funds are limited to $24,999</w:t>
      </w:r>
      <w:r w:rsidR="008018EF" w:rsidRPr="00162839">
        <w:rPr>
          <w:rFonts w:ascii="Arial" w:hAnsi="Arial" w:cs="Arial"/>
          <w:sz w:val="22"/>
          <w:szCs w:val="22"/>
        </w:rPr>
        <w:t xml:space="preserve">.  </w:t>
      </w:r>
      <w:r w:rsidRPr="00162839">
        <w:rPr>
          <w:rFonts w:ascii="Arial" w:hAnsi="Arial" w:cs="Arial"/>
          <w:sz w:val="22"/>
          <w:szCs w:val="22"/>
        </w:rPr>
        <w:t>All applicable technical services costs, including any lead hazard</w:t>
      </w:r>
      <w:r w:rsidR="008E6DEF" w:rsidRPr="00162839">
        <w:rPr>
          <w:rFonts w:ascii="Arial" w:hAnsi="Arial" w:cs="Arial"/>
          <w:sz w:val="22"/>
          <w:szCs w:val="22"/>
        </w:rPr>
        <w:t xml:space="preserve"> </w:t>
      </w:r>
      <w:r w:rsidRPr="00162839">
        <w:rPr>
          <w:rFonts w:ascii="Arial" w:hAnsi="Arial" w:cs="Arial"/>
          <w:sz w:val="22"/>
          <w:szCs w:val="22"/>
        </w:rPr>
        <w:t>reduction carrying costs, are limited to $4,500 per unit.</w:t>
      </w:r>
    </w:p>
    <w:p w:rsidR="00236852" w:rsidRPr="00162839" w:rsidRDefault="00236852" w:rsidP="00162839">
      <w:pPr>
        <w:pStyle w:val="ListParagraph"/>
        <w:numPr>
          <w:ilvl w:val="0"/>
          <w:numId w:val="19"/>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Recipients shall identify general administrative costs in the housing fund application</w:t>
      </w:r>
      <w:r w:rsidR="008018EF" w:rsidRPr="00162839">
        <w:rPr>
          <w:rFonts w:ascii="Arial" w:hAnsi="Arial" w:cs="Arial"/>
          <w:sz w:val="22"/>
          <w:szCs w:val="22"/>
        </w:rPr>
        <w:t xml:space="preserve">.  </w:t>
      </w:r>
      <w:r w:rsidR="00631089" w:rsidRPr="00162839">
        <w:rPr>
          <w:rFonts w:ascii="Arial" w:hAnsi="Arial" w:cs="Arial"/>
          <w:sz w:val="22"/>
          <w:szCs w:val="22"/>
        </w:rPr>
        <w:t>IEDA</w:t>
      </w:r>
      <w:r w:rsidR="008E6DEF" w:rsidRPr="00162839">
        <w:rPr>
          <w:rFonts w:ascii="Arial" w:hAnsi="Arial" w:cs="Arial"/>
          <w:sz w:val="22"/>
          <w:szCs w:val="22"/>
        </w:rPr>
        <w:t xml:space="preserve"> </w:t>
      </w:r>
      <w:r w:rsidRPr="00162839">
        <w:rPr>
          <w:rFonts w:ascii="Arial" w:hAnsi="Arial" w:cs="Arial"/>
          <w:sz w:val="22"/>
          <w:szCs w:val="22"/>
        </w:rPr>
        <w:t xml:space="preserve">reserves the right to negotiate the amount of funds </w:t>
      </w:r>
      <w:r w:rsidR="008018EF" w:rsidRPr="00162839">
        <w:rPr>
          <w:rFonts w:ascii="Arial" w:hAnsi="Arial" w:cs="Arial"/>
          <w:sz w:val="22"/>
          <w:szCs w:val="22"/>
        </w:rPr>
        <w:t>provided</w:t>
      </w:r>
      <w:r w:rsidRPr="00162839">
        <w:rPr>
          <w:rFonts w:ascii="Arial" w:hAnsi="Arial" w:cs="Arial"/>
          <w:sz w:val="22"/>
          <w:szCs w:val="22"/>
        </w:rPr>
        <w:t xml:space="preserve"> for general administration, but in no case</w:t>
      </w:r>
      <w:r w:rsidR="008E6DEF" w:rsidRPr="00162839">
        <w:rPr>
          <w:rFonts w:ascii="Arial" w:hAnsi="Arial" w:cs="Arial"/>
          <w:sz w:val="22"/>
          <w:szCs w:val="22"/>
        </w:rPr>
        <w:t xml:space="preserve"> </w:t>
      </w:r>
      <w:r w:rsidRPr="00162839">
        <w:rPr>
          <w:rFonts w:ascii="Arial" w:hAnsi="Arial" w:cs="Arial"/>
          <w:sz w:val="22"/>
          <w:szCs w:val="22"/>
        </w:rPr>
        <w:t>shall the amount for general administration exceed 10 percent of a total housing fund award.</w:t>
      </w:r>
    </w:p>
    <w:p w:rsidR="00236852" w:rsidRPr="00162839" w:rsidRDefault="00631089" w:rsidP="00162839">
      <w:pPr>
        <w:pStyle w:val="ListParagraph"/>
        <w:numPr>
          <w:ilvl w:val="0"/>
          <w:numId w:val="19"/>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IEDA</w:t>
      </w:r>
      <w:r w:rsidR="00236852" w:rsidRPr="00162839">
        <w:rPr>
          <w:rFonts w:ascii="Arial" w:hAnsi="Arial" w:cs="Arial"/>
          <w:sz w:val="22"/>
          <w:szCs w:val="22"/>
        </w:rPr>
        <w:t xml:space="preserve"> reserves the right to negotiate the amount and terms of a housing fund award.</w:t>
      </w:r>
    </w:p>
    <w:p w:rsidR="00236852" w:rsidRPr="00162839" w:rsidRDefault="00236852" w:rsidP="00162839">
      <w:pPr>
        <w:autoSpaceDE w:val="0"/>
        <w:autoSpaceDN w:val="0"/>
        <w:adjustRightInd w:val="0"/>
        <w:spacing w:after="120"/>
        <w:jc w:val="right"/>
        <w:rPr>
          <w:rFonts w:ascii="Arial" w:hAnsi="Arial" w:cs="Arial"/>
          <w:szCs w:val="22"/>
        </w:rPr>
      </w:pPr>
      <w:r w:rsidRPr="00162839">
        <w:rPr>
          <w:rFonts w:ascii="Arial" w:hAnsi="Arial" w:cs="Arial"/>
          <w:szCs w:val="22"/>
        </w:rPr>
        <w:t>[</w:t>
      </w:r>
      <w:r w:rsidRPr="00162839">
        <w:rPr>
          <w:rFonts w:ascii="Arial" w:hAnsi="Arial" w:cs="Arial"/>
          <w:b/>
          <w:bCs/>
          <w:szCs w:val="22"/>
        </w:rPr>
        <w:t>ARC 8418B</w:t>
      </w:r>
      <w:r w:rsidRPr="00162839">
        <w:rPr>
          <w:rFonts w:ascii="Arial" w:hAnsi="Arial" w:cs="Arial"/>
          <w:szCs w:val="22"/>
        </w:rPr>
        <w:t xml:space="preserve">, IAB 12/30/09, effective 2/3/10; </w:t>
      </w:r>
      <w:r w:rsidRPr="00162839">
        <w:rPr>
          <w:rFonts w:ascii="Arial" w:hAnsi="Arial" w:cs="Arial"/>
          <w:b/>
          <w:bCs/>
          <w:szCs w:val="22"/>
        </w:rPr>
        <w:t>ARC 9326B</w:t>
      </w:r>
      <w:r w:rsidRPr="00162839">
        <w:rPr>
          <w:rFonts w:ascii="Arial" w:hAnsi="Arial" w:cs="Arial"/>
          <w:szCs w:val="22"/>
        </w:rPr>
        <w:t>, IAB 1/12/11, effective 2/16/11]</w:t>
      </w:r>
    </w:p>
    <w:p w:rsidR="00236852" w:rsidRPr="00162839" w:rsidRDefault="00236852" w:rsidP="00162839">
      <w:pPr>
        <w:autoSpaceDE w:val="0"/>
        <w:autoSpaceDN w:val="0"/>
        <w:adjustRightInd w:val="0"/>
        <w:spacing w:after="120"/>
        <w:rPr>
          <w:rFonts w:ascii="Arial" w:hAnsi="Arial" w:cs="Arial"/>
          <w:sz w:val="22"/>
          <w:szCs w:val="22"/>
        </w:rPr>
      </w:pPr>
      <w:proofErr w:type="gramStart"/>
      <w:r w:rsidRPr="00162839">
        <w:rPr>
          <w:rFonts w:ascii="Arial" w:hAnsi="Arial" w:cs="Arial"/>
          <w:b/>
          <w:bCs/>
          <w:sz w:val="22"/>
          <w:szCs w:val="22"/>
        </w:rPr>
        <w:t>261—25.9(15) Administration of awards</w:t>
      </w:r>
      <w:r w:rsidR="00391AB5" w:rsidRPr="00162839">
        <w:rPr>
          <w:rFonts w:ascii="Arial" w:hAnsi="Arial" w:cs="Arial"/>
          <w:b/>
          <w:bCs/>
          <w:sz w:val="22"/>
          <w:szCs w:val="22"/>
        </w:rPr>
        <w:t>.</w:t>
      </w:r>
      <w:proofErr w:type="gramEnd"/>
      <w:r w:rsidR="00391AB5" w:rsidRPr="00162839">
        <w:rPr>
          <w:rFonts w:ascii="Arial" w:hAnsi="Arial" w:cs="Arial"/>
          <w:b/>
          <w:bCs/>
          <w:sz w:val="22"/>
          <w:szCs w:val="22"/>
        </w:rPr>
        <w:t xml:space="preserve">  </w:t>
      </w:r>
      <w:r w:rsidRPr="00162839">
        <w:rPr>
          <w:rFonts w:ascii="Arial" w:hAnsi="Arial" w:cs="Arial"/>
          <w:sz w:val="22"/>
          <w:szCs w:val="22"/>
        </w:rPr>
        <w:t>Applications selected to receive housing fund awards shall</w:t>
      </w:r>
      <w:r w:rsidR="008E6DEF" w:rsidRPr="00162839">
        <w:rPr>
          <w:rFonts w:ascii="Arial" w:hAnsi="Arial" w:cs="Arial"/>
          <w:sz w:val="22"/>
          <w:szCs w:val="22"/>
        </w:rPr>
        <w:t xml:space="preserve"> </w:t>
      </w:r>
      <w:r w:rsidRPr="00162839">
        <w:rPr>
          <w:rFonts w:ascii="Arial" w:hAnsi="Arial" w:cs="Arial"/>
          <w:sz w:val="22"/>
          <w:szCs w:val="22"/>
        </w:rPr>
        <w:t xml:space="preserve">be notified by letter from the </w:t>
      </w:r>
      <w:r w:rsidR="00631089" w:rsidRPr="00162839">
        <w:rPr>
          <w:rFonts w:ascii="Arial" w:hAnsi="Arial" w:cs="Arial"/>
          <w:sz w:val="22"/>
          <w:szCs w:val="22"/>
        </w:rPr>
        <w:t>IEDA</w:t>
      </w:r>
      <w:r w:rsidRPr="00162839">
        <w:rPr>
          <w:rFonts w:ascii="Arial" w:hAnsi="Arial" w:cs="Arial"/>
          <w:sz w:val="22"/>
          <w:szCs w:val="22"/>
        </w:rPr>
        <w:t xml:space="preserve"> director.</w:t>
      </w:r>
    </w:p>
    <w:p w:rsidR="00236852" w:rsidRPr="00162839" w:rsidRDefault="00236852" w:rsidP="00162839">
      <w:pPr>
        <w:pStyle w:val="ListParagraph"/>
        <w:numPr>
          <w:ilvl w:val="0"/>
          <w:numId w:val="23"/>
        </w:numPr>
        <w:autoSpaceDE w:val="0"/>
        <w:autoSpaceDN w:val="0"/>
        <w:adjustRightInd w:val="0"/>
        <w:spacing w:after="120"/>
        <w:ind w:left="540" w:hanging="270"/>
        <w:rPr>
          <w:rFonts w:ascii="Arial" w:hAnsi="Arial" w:cs="Arial"/>
          <w:sz w:val="22"/>
          <w:szCs w:val="22"/>
        </w:rPr>
      </w:pPr>
      <w:r w:rsidRPr="00162839">
        <w:rPr>
          <w:rFonts w:ascii="Arial" w:hAnsi="Arial" w:cs="Arial"/>
          <w:sz w:val="22"/>
          <w:szCs w:val="22"/>
        </w:rPr>
        <w:t xml:space="preserve">A contract shall be executed between the recipient and </w:t>
      </w:r>
      <w:r w:rsidR="00631089" w:rsidRPr="00162839">
        <w:rPr>
          <w:rFonts w:ascii="Arial" w:hAnsi="Arial" w:cs="Arial"/>
          <w:sz w:val="22"/>
          <w:szCs w:val="22"/>
        </w:rPr>
        <w:t>IEDA</w:t>
      </w:r>
      <w:r w:rsidR="008018EF" w:rsidRPr="00162839">
        <w:rPr>
          <w:rFonts w:ascii="Arial" w:hAnsi="Arial" w:cs="Arial"/>
          <w:sz w:val="22"/>
          <w:szCs w:val="22"/>
        </w:rPr>
        <w:t xml:space="preserve">.  </w:t>
      </w:r>
      <w:r w:rsidRPr="00162839">
        <w:rPr>
          <w:rFonts w:ascii="Arial" w:hAnsi="Arial" w:cs="Arial"/>
          <w:sz w:val="22"/>
          <w:szCs w:val="22"/>
        </w:rPr>
        <w:t>These rules, the approved</w:t>
      </w:r>
      <w:r w:rsidR="008E6DEF" w:rsidRPr="00162839">
        <w:rPr>
          <w:rFonts w:ascii="Arial" w:hAnsi="Arial" w:cs="Arial"/>
          <w:sz w:val="22"/>
          <w:szCs w:val="22"/>
        </w:rPr>
        <w:t xml:space="preserve"> </w:t>
      </w:r>
      <w:r w:rsidRPr="00162839">
        <w:rPr>
          <w:rFonts w:ascii="Arial" w:hAnsi="Arial" w:cs="Arial"/>
          <w:sz w:val="22"/>
          <w:szCs w:val="22"/>
        </w:rPr>
        <w:t>housing fund application, the housing fund management guide and all applicable federal and state laws</w:t>
      </w:r>
      <w:r w:rsidR="008E6DEF" w:rsidRPr="00162839">
        <w:rPr>
          <w:rFonts w:ascii="Arial" w:hAnsi="Arial" w:cs="Arial"/>
          <w:sz w:val="22"/>
          <w:szCs w:val="22"/>
        </w:rPr>
        <w:t xml:space="preserve"> </w:t>
      </w:r>
      <w:r w:rsidRPr="00162839">
        <w:rPr>
          <w:rFonts w:ascii="Arial" w:hAnsi="Arial" w:cs="Arial"/>
          <w:sz w:val="22"/>
          <w:szCs w:val="22"/>
        </w:rPr>
        <w:t>and regulations shall be part of the contract.</w:t>
      </w:r>
    </w:p>
    <w:p w:rsidR="00236852" w:rsidRPr="00162839" w:rsidRDefault="00236852" w:rsidP="00162839">
      <w:pPr>
        <w:pStyle w:val="ListParagraph"/>
        <w:numPr>
          <w:ilvl w:val="1"/>
          <w:numId w:val="24"/>
        </w:numPr>
        <w:autoSpaceDE w:val="0"/>
        <w:autoSpaceDN w:val="0"/>
        <w:adjustRightInd w:val="0"/>
        <w:spacing w:after="120"/>
        <w:ind w:left="1080"/>
        <w:rPr>
          <w:rFonts w:ascii="Arial" w:hAnsi="Arial" w:cs="Arial"/>
          <w:sz w:val="22"/>
          <w:szCs w:val="22"/>
        </w:rPr>
      </w:pPr>
      <w:r w:rsidRPr="00162839">
        <w:rPr>
          <w:rFonts w:ascii="Arial" w:hAnsi="Arial" w:cs="Arial"/>
          <w:sz w:val="22"/>
          <w:szCs w:val="22"/>
        </w:rPr>
        <w:t xml:space="preserve">The recipient shall execute and return the contract to </w:t>
      </w:r>
      <w:r w:rsidR="00631089" w:rsidRPr="00162839">
        <w:rPr>
          <w:rFonts w:ascii="Arial" w:hAnsi="Arial" w:cs="Arial"/>
          <w:sz w:val="22"/>
          <w:szCs w:val="22"/>
        </w:rPr>
        <w:t>IEDA</w:t>
      </w:r>
      <w:r w:rsidRPr="00162839">
        <w:rPr>
          <w:rFonts w:ascii="Arial" w:hAnsi="Arial" w:cs="Arial"/>
          <w:sz w:val="22"/>
          <w:szCs w:val="22"/>
        </w:rPr>
        <w:t xml:space="preserve"> within 45 days of transmittal of the</w:t>
      </w:r>
      <w:r w:rsidR="008E6DEF" w:rsidRPr="00162839">
        <w:rPr>
          <w:rFonts w:ascii="Arial" w:hAnsi="Arial" w:cs="Arial"/>
          <w:sz w:val="22"/>
          <w:szCs w:val="22"/>
        </w:rPr>
        <w:t xml:space="preserve"> </w:t>
      </w:r>
      <w:r w:rsidRPr="00162839">
        <w:rPr>
          <w:rFonts w:ascii="Arial" w:hAnsi="Arial" w:cs="Arial"/>
          <w:sz w:val="22"/>
          <w:szCs w:val="22"/>
        </w:rPr>
        <w:t xml:space="preserve">final contract from </w:t>
      </w:r>
      <w:r w:rsidR="00631089" w:rsidRPr="00162839">
        <w:rPr>
          <w:rFonts w:ascii="Arial" w:hAnsi="Arial" w:cs="Arial"/>
          <w:sz w:val="22"/>
          <w:szCs w:val="22"/>
        </w:rPr>
        <w:t>IEDA</w:t>
      </w:r>
      <w:r w:rsidR="008018EF" w:rsidRPr="00162839">
        <w:rPr>
          <w:rFonts w:ascii="Arial" w:hAnsi="Arial" w:cs="Arial"/>
          <w:sz w:val="22"/>
          <w:szCs w:val="22"/>
        </w:rPr>
        <w:t xml:space="preserve">.  </w:t>
      </w:r>
      <w:r w:rsidRPr="00162839">
        <w:rPr>
          <w:rFonts w:ascii="Arial" w:hAnsi="Arial" w:cs="Arial"/>
          <w:sz w:val="22"/>
          <w:szCs w:val="22"/>
        </w:rPr>
        <w:t xml:space="preserve">Failure to do so may be cause for </w:t>
      </w:r>
      <w:r w:rsidR="00631089" w:rsidRPr="00162839">
        <w:rPr>
          <w:rFonts w:ascii="Arial" w:hAnsi="Arial" w:cs="Arial"/>
          <w:sz w:val="22"/>
          <w:szCs w:val="22"/>
        </w:rPr>
        <w:t>IEDA</w:t>
      </w:r>
      <w:r w:rsidRPr="00162839">
        <w:rPr>
          <w:rFonts w:ascii="Arial" w:hAnsi="Arial" w:cs="Arial"/>
          <w:sz w:val="22"/>
          <w:szCs w:val="22"/>
        </w:rPr>
        <w:t xml:space="preserve"> to terminate the award.</w:t>
      </w:r>
    </w:p>
    <w:p w:rsidR="00236852" w:rsidRPr="00162839" w:rsidRDefault="00236852" w:rsidP="00162839">
      <w:pPr>
        <w:pStyle w:val="ListParagraph"/>
        <w:numPr>
          <w:ilvl w:val="1"/>
          <w:numId w:val="24"/>
        </w:numPr>
        <w:autoSpaceDE w:val="0"/>
        <w:autoSpaceDN w:val="0"/>
        <w:adjustRightInd w:val="0"/>
        <w:spacing w:after="120"/>
        <w:ind w:left="1080"/>
        <w:rPr>
          <w:rFonts w:ascii="Arial" w:hAnsi="Arial" w:cs="Arial"/>
          <w:sz w:val="22"/>
          <w:szCs w:val="22"/>
        </w:rPr>
      </w:pPr>
      <w:r w:rsidRPr="00162839">
        <w:rPr>
          <w:rFonts w:ascii="Arial" w:hAnsi="Arial" w:cs="Arial"/>
          <w:sz w:val="22"/>
          <w:szCs w:val="22"/>
        </w:rPr>
        <w:lastRenderedPageBreak/>
        <w:t>Certain activities may require that permits or clearances be obtained from other state or local</w:t>
      </w:r>
      <w:r w:rsidR="008E6DEF" w:rsidRPr="00162839">
        <w:rPr>
          <w:rFonts w:ascii="Arial" w:hAnsi="Arial" w:cs="Arial"/>
          <w:sz w:val="22"/>
          <w:szCs w:val="22"/>
        </w:rPr>
        <w:t xml:space="preserve"> </w:t>
      </w:r>
      <w:r w:rsidRPr="00162839">
        <w:rPr>
          <w:rFonts w:ascii="Arial" w:hAnsi="Arial" w:cs="Arial"/>
          <w:sz w:val="22"/>
          <w:szCs w:val="22"/>
        </w:rPr>
        <w:t>agencies before the activity may proceed</w:t>
      </w:r>
      <w:r w:rsidR="008018EF" w:rsidRPr="00162839">
        <w:rPr>
          <w:rFonts w:ascii="Arial" w:hAnsi="Arial" w:cs="Arial"/>
          <w:sz w:val="22"/>
          <w:szCs w:val="22"/>
        </w:rPr>
        <w:t xml:space="preserve">.  </w:t>
      </w:r>
      <w:r w:rsidRPr="00162839">
        <w:rPr>
          <w:rFonts w:ascii="Arial" w:hAnsi="Arial" w:cs="Arial"/>
          <w:sz w:val="22"/>
          <w:szCs w:val="22"/>
        </w:rPr>
        <w:t>Contracts may be conditioned upon the timely completion of</w:t>
      </w:r>
      <w:r w:rsidR="008E6DEF" w:rsidRPr="00162839">
        <w:rPr>
          <w:rFonts w:ascii="Arial" w:hAnsi="Arial" w:cs="Arial"/>
          <w:sz w:val="22"/>
          <w:szCs w:val="22"/>
        </w:rPr>
        <w:t xml:space="preserve"> </w:t>
      </w:r>
      <w:r w:rsidRPr="00162839">
        <w:rPr>
          <w:rFonts w:ascii="Arial" w:hAnsi="Arial" w:cs="Arial"/>
          <w:sz w:val="22"/>
          <w:szCs w:val="22"/>
        </w:rPr>
        <w:t>these requirements.</w:t>
      </w:r>
    </w:p>
    <w:p w:rsidR="00236852" w:rsidRPr="00162839" w:rsidRDefault="00236852" w:rsidP="00162839">
      <w:pPr>
        <w:pStyle w:val="ListParagraph"/>
        <w:numPr>
          <w:ilvl w:val="1"/>
          <w:numId w:val="24"/>
        </w:numPr>
        <w:autoSpaceDE w:val="0"/>
        <w:autoSpaceDN w:val="0"/>
        <w:adjustRightInd w:val="0"/>
        <w:spacing w:after="120"/>
        <w:ind w:left="1080"/>
        <w:rPr>
          <w:rFonts w:ascii="Arial" w:hAnsi="Arial" w:cs="Arial"/>
          <w:sz w:val="22"/>
          <w:szCs w:val="22"/>
        </w:rPr>
      </w:pPr>
      <w:r w:rsidRPr="00162839">
        <w:rPr>
          <w:rFonts w:ascii="Arial" w:hAnsi="Arial" w:cs="Arial"/>
          <w:sz w:val="22"/>
          <w:szCs w:val="22"/>
        </w:rPr>
        <w:t>Awards shall be conditioned upon commitment of other sources of funds included in the</w:t>
      </w:r>
      <w:r w:rsidR="008E6DEF" w:rsidRPr="00162839">
        <w:rPr>
          <w:rFonts w:ascii="Arial" w:hAnsi="Arial" w:cs="Arial"/>
          <w:sz w:val="22"/>
          <w:szCs w:val="22"/>
        </w:rPr>
        <w:t xml:space="preserve"> </w:t>
      </w:r>
      <w:r w:rsidRPr="00162839">
        <w:rPr>
          <w:rFonts w:ascii="Arial" w:hAnsi="Arial" w:cs="Arial"/>
          <w:sz w:val="22"/>
          <w:szCs w:val="22"/>
        </w:rPr>
        <w:t>application budget.</w:t>
      </w:r>
    </w:p>
    <w:p w:rsidR="00236852" w:rsidRPr="00162839" w:rsidRDefault="00236852" w:rsidP="00162839">
      <w:pPr>
        <w:pStyle w:val="ListParagraph"/>
        <w:numPr>
          <w:ilvl w:val="1"/>
          <w:numId w:val="24"/>
        </w:numPr>
        <w:autoSpaceDE w:val="0"/>
        <w:autoSpaceDN w:val="0"/>
        <w:adjustRightInd w:val="0"/>
        <w:spacing w:after="120"/>
        <w:ind w:left="1080"/>
        <w:rPr>
          <w:rFonts w:ascii="Arial" w:hAnsi="Arial" w:cs="Arial"/>
          <w:sz w:val="22"/>
          <w:szCs w:val="22"/>
        </w:rPr>
      </w:pPr>
      <w:r w:rsidRPr="00162839">
        <w:rPr>
          <w:rFonts w:ascii="Arial" w:hAnsi="Arial" w:cs="Arial"/>
          <w:sz w:val="22"/>
          <w:szCs w:val="22"/>
        </w:rPr>
        <w:t xml:space="preserve">Release of funds shall be conditioned upon </w:t>
      </w:r>
      <w:r w:rsidR="00631089" w:rsidRPr="00162839">
        <w:rPr>
          <w:rFonts w:ascii="Arial" w:hAnsi="Arial" w:cs="Arial"/>
          <w:sz w:val="22"/>
          <w:szCs w:val="22"/>
        </w:rPr>
        <w:t>IEDA</w:t>
      </w:r>
      <w:r w:rsidRPr="00162839">
        <w:rPr>
          <w:rFonts w:ascii="Arial" w:hAnsi="Arial" w:cs="Arial"/>
          <w:sz w:val="22"/>
          <w:szCs w:val="22"/>
        </w:rPr>
        <w:t>’s receipt of an administrative plan for the</w:t>
      </w:r>
      <w:r w:rsidR="008E6DEF" w:rsidRPr="00162839">
        <w:rPr>
          <w:rFonts w:ascii="Arial" w:hAnsi="Arial" w:cs="Arial"/>
          <w:sz w:val="22"/>
          <w:szCs w:val="22"/>
        </w:rPr>
        <w:t xml:space="preserve"> </w:t>
      </w:r>
      <w:r w:rsidRPr="00162839">
        <w:rPr>
          <w:rFonts w:ascii="Arial" w:hAnsi="Arial" w:cs="Arial"/>
          <w:sz w:val="22"/>
          <w:szCs w:val="22"/>
        </w:rPr>
        <w:t>funded activity.</w:t>
      </w:r>
    </w:p>
    <w:p w:rsidR="00236852" w:rsidRPr="00162839" w:rsidRDefault="00236852" w:rsidP="00162839">
      <w:pPr>
        <w:pStyle w:val="ListParagraph"/>
        <w:numPr>
          <w:ilvl w:val="1"/>
          <w:numId w:val="24"/>
        </w:numPr>
        <w:autoSpaceDE w:val="0"/>
        <w:autoSpaceDN w:val="0"/>
        <w:adjustRightInd w:val="0"/>
        <w:spacing w:after="120"/>
        <w:ind w:left="1080"/>
        <w:rPr>
          <w:rFonts w:ascii="Arial" w:hAnsi="Arial" w:cs="Arial"/>
          <w:sz w:val="22"/>
          <w:szCs w:val="22"/>
        </w:rPr>
      </w:pPr>
      <w:r w:rsidRPr="00162839">
        <w:rPr>
          <w:rFonts w:ascii="Arial" w:hAnsi="Arial" w:cs="Arial"/>
          <w:sz w:val="22"/>
          <w:szCs w:val="22"/>
        </w:rPr>
        <w:t xml:space="preserve">Release of funds shall be conditioned upon </w:t>
      </w:r>
      <w:r w:rsidR="00631089" w:rsidRPr="00162839">
        <w:rPr>
          <w:rFonts w:ascii="Arial" w:hAnsi="Arial" w:cs="Arial"/>
          <w:sz w:val="22"/>
          <w:szCs w:val="22"/>
        </w:rPr>
        <w:t>IEDA</w:t>
      </w:r>
      <w:r w:rsidRPr="00162839">
        <w:rPr>
          <w:rFonts w:ascii="Arial" w:hAnsi="Arial" w:cs="Arial"/>
          <w:sz w:val="22"/>
          <w:szCs w:val="22"/>
        </w:rPr>
        <w:t>’s receipt and approval of documentation of</w:t>
      </w:r>
      <w:r w:rsidR="008E6DEF" w:rsidRPr="00162839">
        <w:rPr>
          <w:rFonts w:ascii="Arial" w:hAnsi="Arial" w:cs="Arial"/>
          <w:sz w:val="22"/>
          <w:szCs w:val="22"/>
        </w:rPr>
        <w:t xml:space="preserve"> </w:t>
      </w:r>
      <w:r w:rsidRPr="00162839">
        <w:rPr>
          <w:rFonts w:ascii="Arial" w:hAnsi="Arial" w:cs="Arial"/>
          <w:sz w:val="22"/>
          <w:szCs w:val="22"/>
        </w:rPr>
        <w:t>environmental clearance.</w:t>
      </w:r>
    </w:p>
    <w:p w:rsidR="008E6DEF" w:rsidRPr="00162839" w:rsidRDefault="00236852" w:rsidP="008018EF">
      <w:pPr>
        <w:pStyle w:val="ListParagraph"/>
        <w:numPr>
          <w:ilvl w:val="0"/>
          <w:numId w:val="28"/>
        </w:numPr>
        <w:autoSpaceDE w:val="0"/>
        <w:autoSpaceDN w:val="0"/>
        <w:adjustRightInd w:val="0"/>
        <w:spacing w:after="120"/>
        <w:ind w:left="630" w:hanging="270"/>
        <w:rPr>
          <w:rFonts w:ascii="Arial" w:hAnsi="Arial" w:cs="Arial"/>
          <w:sz w:val="22"/>
          <w:szCs w:val="22"/>
        </w:rPr>
      </w:pPr>
      <w:r w:rsidRPr="00162839">
        <w:rPr>
          <w:rFonts w:ascii="Arial" w:hAnsi="Arial" w:cs="Arial"/>
          <w:sz w:val="22"/>
          <w:szCs w:val="22"/>
        </w:rPr>
        <w:t>Local administrative and technical services contracts.</w:t>
      </w:r>
      <w:r w:rsidR="008E6DEF" w:rsidRPr="00162839">
        <w:rPr>
          <w:rFonts w:ascii="Arial" w:hAnsi="Arial" w:cs="Arial"/>
          <w:sz w:val="22"/>
          <w:szCs w:val="22"/>
        </w:rPr>
        <w:t xml:space="preserve"> </w:t>
      </w:r>
    </w:p>
    <w:p w:rsidR="00236852" w:rsidRPr="008018EF" w:rsidRDefault="00236852" w:rsidP="008018EF">
      <w:pPr>
        <w:pStyle w:val="ListParagraph"/>
        <w:numPr>
          <w:ilvl w:val="1"/>
          <w:numId w:val="29"/>
        </w:numPr>
        <w:autoSpaceDE w:val="0"/>
        <w:autoSpaceDN w:val="0"/>
        <w:adjustRightInd w:val="0"/>
        <w:spacing w:after="120"/>
        <w:ind w:left="1080"/>
        <w:rPr>
          <w:rFonts w:ascii="Arial" w:hAnsi="Arial" w:cs="Arial"/>
          <w:sz w:val="22"/>
          <w:szCs w:val="22"/>
        </w:rPr>
      </w:pPr>
      <w:r w:rsidRPr="008018EF">
        <w:rPr>
          <w:rFonts w:ascii="Arial" w:hAnsi="Arial" w:cs="Arial"/>
          <w:sz w:val="22"/>
          <w:szCs w:val="22"/>
        </w:rPr>
        <w:t>Recipients awarded funds for general administration that employ the services of a third-party</w:t>
      </w:r>
      <w:r w:rsidR="008E6DEF" w:rsidRPr="008018EF">
        <w:rPr>
          <w:rFonts w:ascii="Arial" w:hAnsi="Arial" w:cs="Arial"/>
          <w:sz w:val="22"/>
          <w:szCs w:val="22"/>
        </w:rPr>
        <w:t xml:space="preserve"> </w:t>
      </w:r>
      <w:r w:rsidRPr="008018EF">
        <w:rPr>
          <w:rFonts w:ascii="Arial" w:hAnsi="Arial" w:cs="Arial"/>
          <w:sz w:val="22"/>
          <w:szCs w:val="22"/>
        </w:rPr>
        <w:t>administrator to perform all or part of the general administrative functions for the recipient shall enter</w:t>
      </w:r>
      <w:r w:rsidR="008E6DEF" w:rsidRPr="008018EF">
        <w:rPr>
          <w:rFonts w:ascii="Arial" w:hAnsi="Arial" w:cs="Arial"/>
          <w:sz w:val="22"/>
          <w:szCs w:val="22"/>
        </w:rPr>
        <w:t xml:space="preserve"> </w:t>
      </w:r>
      <w:r w:rsidRPr="008018EF">
        <w:rPr>
          <w:rFonts w:ascii="Arial" w:hAnsi="Arial" w:cs="Arial"/>
          <w:sz w:val="22"/>
          <w:szCs w:val="22"/>
        </w:rPr>
        <w:t>into a contractual agreement for the general administrative functions to be performed.</w:t>
      </w:r>
      <w:r w:rsidR="008E6DEF" w:rsidRPr="008018EF">
        <w:rPr>
          <w:rFonts w:ascii="Arial" w:hAnsi="Arial" w:cs="Arial"/>
          <w:sz w:val="22"/>
          <w:szCs w:val="22"/>
        </w:rPr>
        <w:t xml:space="preserve"> </w:t>
      </w:r>
    </w:p>
    <w:p w:rsidR="00236852" w:rsidRPr="008018EF" w:rsidRDefault="00236852" w:rsidP="008018EF">
      <w:pPr>
        <w:pStyle w:val="ListParagraph"/>
        <w:numPr>
          <w:ilvl w:val="1"/>
          <w:numId w:val="29"/>
        </w:numPr>
        <w:autoSpaceDE w:val="0"/>
        <w:autoSpaceDN w:val="0"/>
        <w:adjustRightInd w:val="0"/>
        <w:spacing w:after="120"/>
        <w:ind w:left="1080"/>
        <w:rPr>
          <w:rFonts w:ascii="Arial" w:hAnsi="Arial" w:cs="Arial"/>
          <w:sz w:val="22"/>
          <w:szCs w:val="22"/>
        </w:rPr>
      </w:pPr>
      <w:r w:rsidRPr="008018EF">
        <w:rPr>
          <w:rFonts w:ascii="Arial" w:hAnsi="Arial" w:cs="Arial"/>
          <w:sz w:val="22"/>
          <w:szCs w:val="22"/>
        </w:rPr>
        <w:t>Recipients awarded funds for activities requiring technical services (e.g., inspections, work</w:t>
      </w:r>
      <w:r w:rsidR="008E6DEF" w:rsidRPr="008018EF">
        <w:rPr>
          <w:rFonts w:ascii="Arial" w:hAnsi="Arial" w:cs="Arial"/>
          <w:sz w:val="22"/>
          <w:szCs w:val="22"/>
        </w:rPr>
        <w:t xml:space="preserve"> </w:t>
      </w:r>
      <w:r w:rsidRPr="008018EF">
        <w:rPr>
          <w:rFonts w:ascii="Arial" w:hAnsi="Arial" w:cs="Arial"/>
          <w:sz w:val="22"/>
          <w:szCs w:val="22"/>
        </w:rPr>
        <w:t>write-ups, cost estimates, construction supervision, lead hazard reduction need determination and</w:t>
      </w:r>
      <w:r w:rsidR="008E6DEF" w:rsidRPr="008018EF">
        <w:rPr>
          <w:rFonts w:ascii="Arial" w:hAnsi="Arial" w:cs="Arial"/>
          <w:sz w:val="22"/>
          <w:szCs w:val="22"/>
        </w:rPr>
        <w:t xml:space="preserve"> </w:t>
      </w:r>
      <w:r w:rsidRPr="008018EF">
        <w:rPr>
          <w:rFonts w:ascii="Arial" w:hAnsi="Arial" w:cs="Arial"/>
          <w:sz w:val="22"/>
          <w:szCs w:val="22"/>
        </w:rPr>
        <w:t>oversight, lead hazard reduction carrying costs, and temporary relocation coordination) that employ a</w:t>
      </w:r>
      <w:r w:rsidR="008E6DEF" w:rsidRPr="008018EF">
        <w:rPr>
          <w:rFonts w:ascii="Arial" w:hAnsi="Arial" w:cs="Arial"/>
          <w:sz w:val="22"/>
          <w:szCs w:val="22"/>
        </w:rPr>
        <w:t xml:space="preserve"> </w:t>
      </w:r>
      <w:r w:rsidRPr="008018EF">
        <w:rPr>
          <w:rFonts w:ascii="Arial" w:hAnsi="Arial" w:cs="Arial"/>
          <w:sz w:val="22"/>
          <w:szCs w:val="22"/>
        </w:rPr>
        <w:t>third-party entity to perform all or part of the technical services shall enter into a contractual agreement</w:t>
      </w:r>
      <w:r w:rsidR="008E6DEF" w:rsidRPr="008018EF">
        <w:rPr>
          <w:rFonts w:ascii="Arial" w:hAnsi="Arial" w:cs="Arial"/>
          <w:sz w:val="22"/>
          <w:szCs w:val="22"/>
        </w:rPr>
        <w:t xml:space="preserve"> </w:t>
      </w:r>
      <w:r w:rsidRPr="008018EF">
        <w:rPr>
          <w:rFonts w:ascii="Arial" w:hAnsi="Arial" w:cs="Arial"/>
          <w:sz w:val="22"/>
          <w:szCs w:val="22"/>
        </w:rPr>
        <w:t>for the technical services to be performed.</w:t>
      </w:r>
    </w:p>
    <w:p w:rsidR="00236852" w:rsidRPr="008018EF" w:rsidRDefault="00236852" w:rsidP="008018EF">
      <w:pPr>
        <w:pStyle w:val="ListParagraph"/>
        <w:numPr>
          <w:ilvl w:val="1"/>
          <w:numId w:val="29"/>
        </w:numPr>
        <w:autoSpaceDE w:val="0"/>
        <w:autoSpaceDN w:val="0"/>
        <w:adjustRightInd w:val="0"/>
        <w:spacing w:after="120"/>
        <w:ind w:left="1080"/>
        <w:rPr>
          <w:rFonts w:ascii="Arial" w:hAnsi="Arial" w:cs="Arial"/>
          <w:sz w:val="22"/>
          <w:szCs w:val="22"/>
        </w:rPr>
      </w:pPr>
      <w:r w:rsidRPr="008018EF">
        <w:rPr>
          <w:rFonts w:ascii="Arial" w:hAnsi="Arial" w:cs="Arial"/>
          <w:sz w:val="22"/>
          <w:szCs w:val="22"/>
        </w:rPr>
        <w:t>Recipients that employ a third party to perform all or part of the general administration for the</w:t>
      </w:r>
      <w:r w:rsidR="008E6DEF" w:rsidRPr="008018EF">
        <w:rPr>
          <w:rFonts w:ascii="Arial" w:hAnsi="Arial" w:cs="Arial"/>
          <w:sz w:val="22"/>
          <w:szCs w:val="22"/>
        </w:rPr>
        <w:t xml:space="preserve"> </w:t>
      </w:r>
      <w:r w:rsidRPr="008018EF">
        <w:rPr>
          <w:rFonts w:ascii="Arial" w:hAnsi="Arial" w:cs="Arial"/>
          <w:sz w:val="22"/>
          <w:szCs w:val="22"/>
        </w:rPr>
        <w:t>recipient and that also employ a third party to perform all or part of the technical services for the recipient</w:t>
      </w:r>
      <w:r w:rsidR="008E6DEF" w:rsidRPr="008018EF">
        <w:rPr>
          <w:rFonts w:ascii="Arial" w:hAnsi="Arial" w:cs="Arial"/>
          <w:sz w:val="22"/>
          <w:szCs w:val="22"/>
        </w:rPr>
        <w:t xml:space="preserve"> </w:t>
      </w:r>
      <w:r w:rsidRPr="008018EF">
        <w:rPr>
          <w:rFonts w:ascii="Arial" w:hAnsi="Arial" w:cs="Arial"/>
          <w:sz w:val="22"/>
          <w:szCs w:val="22"/>
        </w:rPr>
        <w:t>shall conduct separate procurement transactions and shall enter into separate contractual agreements for</w:t>
      </w:r>
      <w:r w:rsidR="008E6DEF" w:rsidRPr="008018EF">
        <w:rPr>
          <w:rFonts w:ascii="Arial" w:hAnsi="Arial" w:cs="Arial"/>
          <w:sz w:val="22"/>
          <w:szCs w:val="22"/>
        </w:rPr>
        <w:t xml:space="preserve"> </w:t>
      </w:r>
      <w:r w:rsidRPr="008018EF">
        <w:rPr>
          <w:rFonts w:ascii="Arial" w:hAnsi="Arial" w:cs="Arial"/>
          <w:sz w:val="22"/>
          <w:szCs w:val="22"/>
        </w:rPr>
        <w:t>each: one contract for general administration and one contract for technical services</w:t>
      </w:r>
      <w:r w:rsidR="008018EF" w:rsidRPr="008018EF">
        <w:rPr>
          <w:rFonts w:ascii="Arial" w:hAnsi="Arial" w:cs="Arial"/>
          <w:sz w:val="22"/>
          <w:szCs w:val="22"/>
        </w:rPr>
        <w:t xml:space="preserve">.  </w:t>
      </w:r>
      <w:r w:rsidRPr="008018EF">
        <w:rPr>
          <w:rFonts w:ascii="Arial" w:hAnsi="Arial" w:cs="Arial"/>
          <w:sz w:val="22"/>
          <w:szCs w:val="22"/>
        </w:rPr>
        <w:t>Separate contracts</w:t>
      </w:r>
      <w:r w:rsidR="008E6DEF" w:rsidRPr="008018EF">
        <w:rPr>
          <w:rFonts w:ascii="Arial" w:hAnsi="Arial" w:cs="Arial"/>
          <w:sz w:val="22"/>
          <w:szCs w:val="22"/>
        </w:rPr>
        <w:t xml:space="preserve"> </w:t>
      </w:r>
      <w:r w:rsidRPr="008018EF">
        <w:rPr>
          <w:rFonts w:ascii="Arial" w:hAnsi="Arial" w:cs="Arial"/>
          <w:sz w:val="22"/>
          <w:szCs w:val="22"/>
        </w:rPr>
        <w:t>are required even if both functions are performed by the same third-party entity.</w:t>
      </w:r>
    </w:p>
    <w:p w:rsidR="00236852" w:rsidRPr="008018EF" w:rsidRDefault="00236852" w:rsidP="008018EF">
      <w:pPr>
        <w:pStyle w:val="ListParagraph"/>
        <w:numPr>
          <w:ilvl w:val="0"/>
          <w:numId w:val="32"/>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Requests for funds</w:t>
      </w:r>
      <w:r w:rsidR="008018EF" w:rsidRPr="008018EF">
        <w:rPr>
          <w:rFonts w:ascii="Arial" w:hAnsi="Arial" w:cs="Arial"/>
          <w:sz w:val="22"/>
          <w:szCs w:val="22"/>
        </w:rPr>
        <w:t xml:space="preserve">.  </w:t>
      </w:r>
      <w:r w:rsidRPr="008018EF">
        <w:rPr>
          <w:rFonts w:ascii="Arial" w:hAnsi="Arial" w:cs="Arial"/>
          <w:sz w:val="22"/>
          <w:szCs w:val="22"/>
        </w:rPr>
        <w:t>Recipients shall submit requests for funds in the manner and on forms</w:t>
      </w:r>
      <w:r w:rsidR="008E6DEF" w:rsidRPr="008018EF">
        <w:rPr>
          <w:rFonts w:ascii="Arial" w:hAnsi="Arial" w:cs="Arial"/>
          <w:sz w:val="22"/>
          <w:szCs w:val="22"/>
        </w:rPr>
        <w:t xml:space="preserve"> </w:t>
      </w:r>
      <w:r w:rsidRPr="008018EF">
        <w:rPr>
          <w:rFonts w:ascii="Arial" w:hAnsi="Arial" w:cs="Arial"/>
          <w:sz w:val="22"/>
          <w:szCs w:val="22"/>
        </w:rPr>
        <w:t xml:space="preserve">prescribed by </w:t>
      </w:r>
      <w:r w:rsidR="00631089" w:rsidRPr="008018EF">
        <w:rPr>
          <w:rFonts w:ascii="Arial" w:hAnsi="Arial" w:cs="Arial"/>
          <w:sz w:val="22"/>
          <w:szCs w:val="22"/>
        </w:rPr>
        <w:t>IEDA</w:t>
      </w:r>
      <w:r w:rsidR="008018EF" w:rsidRPr="008018EF">
        <w:rPr>
          <w:rFonts w:ascii="Arial" w:hAnsi="Arial" w:cs="Arial"/>
          <w:sz w:val="22"/>
          <w:szCs w:val="22"/>
        </w:rPr>
        <w:t xml:space="preserve">.  </w:t>
      </w:r>
      <w:r w:rsidRPr="008018EF">
        <w:rPr>
          <w:rFonts w:ascii="Arial" w:hAnsi="Arial" w:cs="Arial"/>
          <w:sz w:val="22"/>
          <w:szCs w:val="22"/>
        </w:rPr>
        <w:t>Individual requests for funds shall be made in whole dollar amounts equal to or</w:t>
      </w:r>
      <w:r w:rsidR="008E6DEF" w:rsidRPr="008018EF">
        <w:rPr>
          <w:rFonts w:ascii="Arial" w:hAnsi="Arial" w:cs="Arial"/>
          <w:sz w:val="22"/>
          <w:szCs w:val="22"/>
        </w:rPr>
        <w:t xml:space="preserve"> </w:t>
      </w:r>
      <w:r w:rsidRPr="008018EF">
        <w:rPr>
          <w:rFonts w:ascii="Arial" w:hAnsi="Arial" w:cs="Arial"/>
          <w:sz w:val="22"/>
          <w:szCs w:val="22"/>
        </w:rPr>
        <w:t>greater than $500 per request, except for the final draw of funds.</w:t>
      </w:r>
    </w:p>
    <w:p w:rsidR="00236852" w:rsidRPr="008018EF" w:rsidRDefault="00236852" w:rsidP="008018EF">
      <w:pPr>
        <w:pStyle w:val="ListParagraph"/>
        <w:numPr>
          <w:ilvl w:val="0"/>
          <w:numId w:val="32"/>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Record keeping and retention.</w:t>
      </w:r>
    </w:p>
    <w:p w:rsidR="00236852" w:rsidRPr="008018EF" w:rsidRDefault="00236852" w:rsidP="008018EF">
      <w:pPr>
        <w:pStyle w:val="ListParagraph"/>
        <w:numPr>
          <w:ilvl w:val="1"/>
          <w:numId w:val="33"/>
        </w:numPr>
        <w:autoSpaceDE w:val="0"/>
        <w:autoSpaceDN w:val="0"/>
        <w:adjustRightInd w:val="0"/>
        <w:spacing w:after="120"/>
        <w:ind w:left="1080"/>
        <w:rPr>
          <w:rFonts w:ascii="Arial" w:hAnsi="Arial" w:cs="Arial"/>
          <w:sz w:val="22"/>
          <w:szCs w:val="22"/>
        </w:rPr>
      </w:pPr>
      <w:r w:rsidRPr="008018EF">
        <w:rPr>
          <w:rFonts w:ascii="Arial" w:hAnsi="Arial" w:cs="Arial"/>
          <w:sz w:val="22"/>
          <w:szCs w:val="22"/>
        </w:rPr>
        <w:t>CDBG-funded projects</w:t>
      </w:r>
      <w:r w:rsidR="008018EF" w:rsidRPr="008018EF">
        <w:rPr>
          <w:rFonts w:ascii="Arial" w:hAnsi="Arial" w:cs="Arial"/>
          <w:sz w:val="22"/>
          <w:szCs w:val="22"/>
        </w:rPr>
        <w:t xml:space="preserve">.  </w:t>
      </w:r>
      <w:r w:rsidRPr="008018EF">
        <w:rPr>
          <w:rFonts w:ascii="Arial" w:hAnsi="Arial" w:cs="Arial"/>
          <w:sz w:val="22"/>
          <w:szCs w:val="22"/>
        </w:rPr>
        <w:t>For CDBG-funded projects, the recipient shall retain all financial</w:t>
      </w:r>
      <w:r w:rsidR="008E6DEF" w:rsidRPr="008018EF">
        <w:rPr>
          <w:rFonts w:ascii="Arial" w:hAnsi="Arial" w:cs="Arial"/>
          <w:sz w:val="22"/>
          <w:szCs w:val="22"/>
        </w:rPr>
        <w:t xml:space="preserve"> </w:t>
      </w:r>
      <w:r w:rsidRPr="008018EF">
        <w:rPr>
          <w:rFonts w:ascii="Arial" w:hAnsi="Arial" w:cs="Arial"/>
          <w:sz w:val="22"/>
          <w:szCs w:val="22"/>
        </w:rPr>
        <w:t>records, supporting documents and all other records pertinent to the funded activity for five years after</w:t>
      </w:r>
      <w:r w:rsidR="008E6DEF" w:rsidRPr="008018EF">
        <w:rPr>
          <w:rFonts w:ascii="Arial" w:hAnsi="Arial" w:cs="Arial"/>
          <w:sz w:val="22"/>
          <w:szCs w:val="22"/>
        </w:rPr>
        <w:t xml:space="preserve"> </w:t>
      </w:r>
      <w:r w:rsidRPr="008018EF">
        <w:rPr>
          <w:rFonts w:ascii="Arial" w:hAnsi="Arial" w:cs="Arial"/>
          <w:sz w:val="22"/>
          <w:szCs w:val="22"/>
        </w:rPr>
        <w:t>the state of Iowa has closed out the corresponding program year with HUD.</w:t>
      </w:r>
    </w:p>
    <w:p w:rsidR="00236852" w:rsidRPr="008018EF" w:rsidRDefault="00236852" w:rsidP="008018EF">
      <w:pPr>
        <w:pStyle w:val="ListParagraph"/>
        <w:numPr>
          <w:ilvl w:val="1"/>
          <w:numId w:val="33"/>
        </w:numPr>
        <w:autoSpaceDE w:val="0"/>
        <w:autoSpaceDN w:val="0"/>
        <w:adjustRightInd w:val="0"/>
        <w:spacing w:after="120"/>
        <w:ind w:left="1080"/>
        <w:rPr>
          <w:rFonts w:ascii="Arial" w:hAnsi="Arial" w:cs="Arial"/>
          <w:sz w:val="22"/>
          <w:szCs w:val="22"/>
        </w:rPr>
      </w:pPr>
      <w:r w:rsidRPr="008018EF">
        <w:rPr>
          <w:rFonts w:ascii="Arial" w:hAnsi="Arial" w:cs="Arial"/>
          <w:sz w:val="22"/>
          <w:szCs w:val="22"/>
        </w:rPr>
        <w:t xml:space="preserve">Representatives of </w:t>
      </w:r>
      <w:r w:rsidR="00631089" w:rsidRPr="008018EF">
        <w:rPr>
          <w:rFonts w:ascii="Arial" w:hAnsi="Arial" w:cs="Arial"/>
          <w:sz w:val="22"/>
          <w:szCs w:val="22"/>
        </w:rPr>
        <w:t>IEDA</w:t>
      </w:r>
      <w:r w:rsidRPr="008018EF">
        <w:rPr>
          <w:rFonts w:ascii="Arial" w:hAnsi="Arial" w:cs="Arial"/>
          <w:sz w:val="22"/>
          <w:szCs w:val="22"/>
        </w:rPr>
        <w:t>, HUD, the Inspector General, the General Accounting Office and the</w:t>
      </w:r>
      <w:r w:rsidR="008E6DEF" w:rsidRPr="008018EF">
        <w:rPr>
          <w:rFonts w:ascii="Arial" w:hAnsi="Arial" w:cs="Arial"/>
          <w:sz w:val="22"/>
          <w:szCs w:val="22"/>
        </w:rPr>
        <w:t xml:space="preserve"> </w:t>
      </w:r>
      <w:r w:rsidRPr="008018EF">
        <w:rPr>
          <w:rFonts w:ascii="Arial" w:hAnsi="Arial" w:cs="Arial"/>
          <w:sz w:val="22"/>
          <w:szCs w:val="22"/>
        </w:rPr>
        <w:t>state auditor’s office shall have access to all records belonging to or in use by recipients and subrecipients</w:t>
      </w:r>
      <w:r w:rsidR="008E6DEF" w:rsidRPr="008018EF">
        <w:rPr>
          <w:rFonts w:ascii="Arial" w:hAnsi="Arial" w:cs="Arial"/>
          <w:sz w:val="22"/>
          <w:szCs w:val="22"/>
        </w:rPr>
        <w:t xml:space="preserve"> </w:t>
      </w:r>
      <w:r w:rsidRPr="008018EF">
        <w:rPr>
          <w:rFonts w:ascii="Arial" w:hAnsi="Arial" w:cs="Arial"/>
          <w:sz w:val="22"/>
          <w:szCs w:val="22"/>
        </w:rPr>
        <w:t>pertaining to a housing fund award.</w:t>
      </w:r>
      <w:r w:rsidR="008E6DEF" w:rsidRPr="008018EF">
        <w:rPr>
          <w:rFonts w:ascii="Arial" w:hAnsi="Arial" w:cs="Arial"/>
          <w:sz w:val="22"/>
          <w:szCs w:val="22"/>
        </w:rPr>
        <w:t xml:space="preserve"> </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Performance reports and reviews</w:t>
      </w:r>
      <w:r w:rsidR="00391AB5" w:rsidRPr="008018EF">
        <w:rPr>
          <w:rFonts w:ascii="Arial" w:hAnsi="Arial" w:cs="Arial"/>
          <w:sz w:val="22"/>
          <w:szCs w:val="22"/>
        </w:rPr>
        <w:t xml:space="preserve">.  </w:t>
      </w:r>
      <w:r w:rsidRPr="008018EF">
        <w:rPr>
          <w:rFonts w:ascii="Arial" w:hAnsi="Arial" w:cs="Arial"/>
          <w:sz w:val="22"/>
          <w:szCs w:val="22"/>
        </w:rPr>
        <w:t xml:space="preserve">Recipients shall submit performance reports to </w:t>
      </w:r>
      <w:r w:rsidR="00631089" w:rsidRPr="008018EF">
        <w:rPr>
          <w:rFonts w:ascii="Arial" w:hAnsi="Arial" w:cs="Arial"/>
          <w:sz w:val="22"/>
          <w:szCs w:val="22"/>
        </w:rPr>
        <w:t>IEDA</w:t>
      </w:r>
      <w:r w:rsidRPr="008018EF">
        <w:rPr>
          <w:rFonts w:ascii="Arial" w:hAnsi="Arial" w:cs="Arial"/>
          <w:sz w:val="22"/>
          <w:szCs w:val="22"/>
        </w:rPr>
        <w:t xml:space="preserve"> in</w:t>
      </w:r>
      <w:r w:rsidR="008E6DEF" w:rsidRPr="008018EF">
        <w:rPr>
          <w:rFonts w:ascii="Arial" w:hAnsi="Arial" w:cs="Arial"/>
          <w:sz w:val="22"/>
          <w:szCs w:val="22"/>
        </w:rPr>
        <w:t xml:space="preserve"> </w:t>
      </w:r>
      <w:r w:rsidRPr="008018EF">
        <w:rPr>
          <w:rFonts w:ascii="Arial" w:hAnsi="Arial" w:cs="Arial"/>
          <w:sz w:val="22"/>
          <w:szCs w:val="22"/>
        </w:rPr>
        <w:t xml:space="preserve">the manner and on forms prescribed by </w:t>
      </w:r>
      <w:r w:rsidR="00631089" w:rsidRPr="008018EF">
        <w:rPr>
          <w:rFonts w:ascii="Arial" w:hAnsi="Arial" w:cs="Arial"/>
          <w:sz w:val="22"/>
          <w:szCs w:val="22"/>
        </w:rPr>
        <w:t>IEDA</w:t>
      </w:r>
      <w:r w:rsidR="008018EF" w:rsidRPr="008018EF">
        <w:rPr>
          <w:rFonts w:ascii="Arial" w:hAnsi="Arial" w:cs="Arial"/>
          <w:sz w:val="22"/>
          <w:szCs w:val="22"/>
        </w:rPr>
        <w:t xml:space="preserve">.  </w:t>
      </w:r>
      <w:r w:rsidRPr="008018EF">
        <w:rPr>
          <w:rFonts w:ascii="Arial" w:hAnsi="Arial" w:cs="Arial"/>
          <w:sz w:val="22"/>
          <w:szCs w:val="22"/>
        </w:rPr>
        <w:t>Reports shall assess the use of funds and progress of</w:t>
      </w:r>
      <w:r w:rsidR="008E6DEF" w:rsidRPr="008018EF">
        <w:rPr>
          <w:rFonts w:ascii="Arial" w:hAnsi="Arial" w:cs="Arial"/>
          <w:sz w:val="22"/>
          <w:szCs w:val="22"/>
        </w:rPr>
        <w:t xml:space="preserve"> </w:t>
      </w:r>
      <w:r w:rsidRPr="008018EF">
        <w:rPr>
          <w:rFonts w:ascii="Arial" w:hAnsi="Arial" w:cs="Arial"/>
          <w:sz w:val="22"/>
          <w:szCs w:val="22"/>
        </w:rPr>
        <w:t>activities</w:t>
      </w:r>
      <w:r w:rsidR="008018EF" w:rsidRPr="008018EF">
        <w:rPr>
          <w:rFonts w:ascii="Arial" w:hAnsi="Arial" w:cs="Arial"/>
          <w:sz w:val="22"/>
          <w:szCs w:val="22"/>
        </w:rPr>
        <w:t xml:space="preserve">.  </w:t>
      </w:r>
      <w:r w:rsidR="00631089" w:rsidRPr="008018EF">
        <w:rPr>
          <w:rFonts w:ascii="Arial" w:hAnsi="Arial" w:cs="Arial"/>
          <w:sz w:val="22"/>
          <w:szCs w:val="22"/>
        </w:rPr>
        <w:t>IEDA</w:t>
      </w:r>
      <w:r w:rsidRPr="008018EF">
        <w:rPr>
          <w:rFonts w:ascii="Arial" w:hAnsi="Arial" w:cs="Arial"/>
          <w:sz w:val="22"/>
          <w:szCs w:val="22"/>
        </w:rPr>
        <w:t xml:space="preserve"> may perform reviews or field inspections necessary to ensure recipient performance.</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Amendments to contracts</w:t>
      </w:r>
      <w:r w:rsidR="00391AB5" w:rsidRPr="008018EF">
        <w:rPr>
          <w:rFonts w:ascii="Arial" w:hAnsi="Arial" w:cs="Arial"/>
          <w:sz w:val="22"/>
          <w:szCs w:val="22"/>
        </w:rPr>
        <w:t xml:space="preserve">.  </w:t>
      </w:r>
      <w:r w:rsidRPr="008018EF">
        <w:rPr>
          <w:rFonts w:ascii="Arial" w:hAnsi="Arial" w:cs="Arial"/>
          <w:sz w:val="22"/>
          <w:szCs w:val="22"/>
        </w:rPr>
        <w:t>Any substantive change to a contract shall be considered an</w:t>
      </w:r>
      <w:r w:rsidR="008E6DEF" w:rsidRPr="008018EF">
        <w:rPr>
          <w:rFonts w:ascii="Arial" w:hAnsi="Arial" w:cs="Arial"/>
          <w:sz w:val="22"/>
          <w:szCs w:val="22"/>
        </w:rPr>
        <w:t xml:space="preserve"> </w:t>
      </w:r>
      <w:r w:rsidRPr="008018EF">
        <w:rPr>
          <w:rFonts w:ascii="Arial" w:hAnsi="Arial" w:cs="Arial"/>
          <w:sz w:val="22"/>
          <w:szCs w:val="22"/>
        </w:rPr>
        <w:t>amendment</w:t>
      </w:r>
      <w:r w:rsidR="008018EF" w:rsidRPr="008018EF">
        <w:rPr>
          <w:rFonts w:ascii="Arial" w:hAnsi="Arial" w:cs="Arial"/>
          <w:sz w:val="22"/>
          <w:szCs w:val="22"/>
        </w:rPr>
        <w:t xml:space="preserve">.  </w:t>
      </w:r>
      <w:r w:rsidRPr="008018EF">
        <w:rPr>
          <w:rFonts w:ascii="Arial" w:hAnsi="Arial" w:cs="Arial"/>
          <w:sz w:val="22"/>
          <w:szCs w:val="22"/>
        </w:rPr>
        <w:t>Changes include time extensions, budget revisions and significant alterations of the funded</w:t>
      </w:r>
      <w:r w:rsidR="008E6DEF" w:rsidRPr="008018EF">
        <w:rPr>
          <w:rFonts w:ascii="Arial" w:hAnsi="Arial" w:cs="Arial"/>
          <w:sz w:val="22"/>
          <w:szCs w:val="22"/>
        </w:rPr>
        <w:t xml:space="preserve"> </w:t>
      </w:r>
      <w:r w:rsidRPr="008018EF">
        <w:rPr>
          <w:rFonts w:ascii="Arial" w:hAnsi="Arial" w:cs="Arial"/>
          <w:sz w:val="22"/>
          <w:szCs w:val="22"/>
        </w:rPr>
        <w:t>activities affecting the scope, location, objectives or scale of the approved activity</w:t>
      </w:r>
      <w:r w:rsidR="008018EF" w:rsidRPr="008018EF">
        <w:rPr>
          <w:rFonts w:ascii="Arial" w:hAnsi="Arial" w:cs="Arial"/>
          <w:sz w:val="22"/>
          <w:szCs w:val="22"/>
        </w:rPr>
        <w:t xml:space="preserve">.  </w:t>
      </w:r>
      <w:r w:rsidRPr="008018EF">
        <w:rPr>
          <w:rFonts w:ascii="Arial" w:hAnsi="Arial" w:cs="Arial"/>
          <w:sz w:val="22"/>
          <w:szCs w:val="22"/>
        </w:rPr>
        <w:t>Amendments shall</w:t>
      </w:r>
      <w:r w:rsidR="008E6DEF" w:rsidRPr="008018EF">
        <w:rPr>
          <w:rFonts w:ascii="Arial" w:hAnsi="Arial" w:cs="Arial"/>
          <w:sz w:val="22"/>
          <w:szCs w:val="22"/>
        </w:rPr>
        <w:t xml:space="preserve"> </w:t>
      </w:r>
      <w:r w:rsidRPr="008018EF">
        <w:rPr>
          <w:rFonts w:ascii="Arial" w:hAnsi="Arial" w:cs="Arial"/>
          <w:sz w:val="22"/>
          <w:szCs w:val="22"/>
        </w:rPr>
        <w:t>be requested in writing by the CEO of the recipient and are not considered valid until approved in writing</w:t>
      </w:r>
      <w:r w:rsidR="008E6DEF" w:rsidRPr="008018EF">
        <w:rPr>
          <w:rFonts w:ascii="Arial" w:hAnsi="Arial" w:cs="Arial"/>
          <w:sz w:val="22"/>
          <w:szCs w:val="22"/>
        </w:rPr>
        <w:t xml:space="preserve"> </w:t>
      </w:r>
      <w:r w:rsidRPr="008018EF">
        <w:rPr>
          <w:rFonts w:ascii="Arial" w:hAnsi="Arial" w:cs="Arial"/>
          <w:sz w:val="22"/>
          <w:szCs w:val="22"/>
        </w:rPr>
        <w:t xml:space="preserve">by </w:t>
      </w:r>
      <w:r w:rsidR="00631089" w:rsidRPr="008018EF">
        <w:rPr>
          <w:rFonts w:ascii="Arial" w:hAnsi="Arial" w:cs="Arial"/>
          <w:sz w:val="22"/>
          <w:szCs w:val="22"/>
        </w:rPr>
        <w:t>IEDA</w:t>
      </w:r>
      <w:r w:rsidRPr="008018EF">
        <w:rPr>
          <w:rFonts w:ascii="Arial" w:hAnsi="Arial" w:cs="Arial"/>
          <w:sz w:val="22"/>
          <w:szCs w:val="22"/>
        </w:rPr>
        <w:t xml:space="preserve"> following the procedure specified in the contract between the recipient and </w:t>
      </w:r>
      <w:r w:rsidR="00631089" w:rsidRPr="008018EF">
        <w:rPr>
          <w:rFonts w:ascii="Arial" w:hAnsi="Arial" w:cs="Arial"/>
          <w:sz w:val="22"/>
          <w:szCs w:val="22"/>
        </w:rPr>
        <w:t>IEDA</w:t>
      </w:r>
      <w:r w:rsidRPr="008018EF">
        <w:rPr>
          <w:rFonts w:ascii="Arial" w:hAnsi="Arial" w:cs="Arial"/>
          <w:sz w:val="22"/>
          <w:szCs w:val="22"/>
        </w:rPr>
        <w:t>.</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Contract closeout</w:t>
      </w:r>
      <w:r w:rsidR="008018EF" w:rsidRPr="008018EF">
        <w:rPr>
          <w:rFonts w:ascii="Arial" w:hAnsi="Arial" w:cs="Arial"/>
          <w:sz w:val="22"/>
          <w:szCs w:val="22"/>
        </w:rPr>
        <w:t xml:space="preserve">.  </w:t>
      </w:r>
      <w:r w:rsidRPr="008018EF">
        <w:rPr>
          <w:rFonts w:ascii="Arial" w:hAnsi="Arial" w:cs="Arial"/>
          <w:sz w:val="22"/>
          <w:szCs w:val="22"/>
        </w:rPr>
        <w:t>Upon the contract expiration date or work completion date, as applicable,</w:t>
      </w:r>
      <w:r w:rsidR="008E6DEF" w:rsidRPr="008018EF">
        <w:rPr>
          <w:rFonts w:ascii="Arial" w:hAnsi="Arial" w:cs="Arial"/>
          <w:sz w:val="22"/>
          <w:szCs w:val="22"/>
        </w:rPr>
        <w:t xml:space="preserve"> </w:t>
      </w:r>
      <w:r w:rsidR="00631089" w:rsidRPr="008018EF">
        <w:rPr>
          <w:rFonts w:ascii="Arial" w:hAnsi="Arial" w:cs="Arial"/>
          <w:sz w:val="22"/>
          <w:szCs w:val="22"/>
        </w:rPr>
        <w:t>IEDA</w:t>
      </w:r>
      <w:r w:rsidRPr="008018EF">
        <w:rPr>
          <w:rFonts w:ascii="Arial" w:hAnsi="Arial" w:cs="Arial"/>
          <w:sz w:val="22"/>
          <w:szCs w:val="22"/>
        </w:rPr>
        <w:t xml:space="preserve"> shall initiate closeout procedures</w:t>
      </w:r>
      <w:r w:rsidR="008018EF" w:rsidRPr="008018EF">
        <w:rPr>
          <w:rFonts w:ascii="Arial" w:hAnsi="Arial" w:cs="Arial"/>
          <w:sz w:val="22"/>
          <w:szCs w:val="22"/>
        </w:rPr>
        <w:t xml:space="preserve">.  </w:t>
      </w:r>
      <w:r w:rsidRPr="008018EF">
        <w:rPr>
          <w:rFonts w:ascii="Arial" w:hAnsi="Arial" w:cs="Arial"/>
          <w:sz w:val="22"/>
          <w:szCs w:val="22"/>
        </w:rPr>
        <w:t>Recipients shall comply with applicable audit requirements</w:t>
      </w:r>
      <w:r w:rsidR="008E6DEF" w:rsidRPr="008018EF">
        <w:rPr>
          <w:rFonts w:ascii="Arial" w:hAnsi="Arial" w:cs="Arial"/>
          <w:sz w:val="22"/>
          <w:szCs w:val="22"/>
        </w:rPr>
        <w:t xml:space="preserve"> </w:t>
      </w:r>
      <w:r w:rsidRPr="008018EF">
        <w:rPr>
          <w:rFonts w:ascii="Arial" w:hAnsi="Arial" w:cs="Arial"/>
          <w:sz w:val="22"/>
          <w:szCs w:val="22"/>
        </w:rPr>
        <w:t>described in the housing fund application and management guide.</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Compliance with federal, state and local laws and regulations</w:t>
      </w:r>
      <w:r w:rsidR="008018EF" w:rsidRPr="008018EF">
        <w:rPr>
          <w:rFonts w:ascii="Arial" w:hAnsi="Arial" w:cs="Arial"/>
          <w:sz w:val="22"/>
          <w:szCs w:val="22"/>
        </w:rPr>
        <w:t xml:space="preserve">.  </w:t>
      </w:r>
      <w:r w:rsidRPr="008018EF">
        <w:rPr>
          <w:rFonts w:ascii="Arial" w:hAnsi="Arial" w:cs="Arial"/>
          <w:sz w:val="22"/>
          <w:szCs w:val="22"/>
        </w:rPr>
        <w:t>Recipients shall comply with</w:t>
      </w:r>
      <w:r w:rsidR="008E6DEF" w:rsidRPr="008018EF">
        <w:rPr>
          <w:rFonts w:ascii="Arial" w:hAnsi="Arial" w:cs="Arial"/>
          <w:sz w:val="22"/>
          <w:szCs w:val="22"/>
        </w:rPr>
        <w:t xml:space="preserve"> </w:t>
      </w:r>
      <w:r w:rsidRPr="008018EF">
        <w:rPr>
          <w:rFonts w:ascii="Arial" w:hAnsi="Arial" w:cs="Arial"/>
          <w:sz w:val="22"/>
          <w:szCs w:val="22"/>
        </w:rPr>
        <w:t>these rules, with any provisions of the Iowa Code governing activities performed under this program and</w:t>
      </w:r>
      <w:r w:rsidR="008E6DEF" w:rsidRPr="008018EF">
        <w:rPr>
          <w:rFonts w:ascii="Arial" w:hAnsi="Arial" w:cs="Arial"/>
          <w:sz w:val="22"/>
          <w:szCs w:val="22"/>
        </w:rPr>
        <w:t xml:space="preserve"> </w:t>
      </w:r>
      <w:r w:rsidRPr="008018EF">
        <w:rPr>
          <w:rFonts w:ascii="Arial" w:hAnsi="Arial" w:cs="Arial"/>
          <w:sz w:val="22"/>
          <w:szCs w:val="22"/>
        </w:rPr>
        <w:t>with applicable federal, state and local regulations.</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lastRenderedPageBreak/>
        <w:t>Remedies for noncompliance</w:t>
      </w:r>
      <w:r w:rsidR="008018EF" w:rsidRPr="008018EF">
        <w:rPr>
          <w:rFonts w:ascii="Arial" w:hAnsi="Arial" w:cs="Arial"/>
          <w:sz w:val="22"/>
          <w:szCs w:val="22"/>
        </w:rPr>
        <w:t xml:space="preserve">.  </w:t>
      </w:r>
      <w:r w:rsidRPr="008018EF">
        <w:rPr>
          <w:rFonts w:ascii="Arial" w:hAnsi="Arial" w:cs="Arial"/>
          <w:sz w:val="22"/>
          <w:szCs w:val="22"/>
        </w:rPr>
        <w:t xml:space="preserve">At any time, </w:t>
      </w:r>
      <w:r w:rsidR="00631089" w:rsidRPr="008018EF">
        <w:rPr>
          <w:rFonts w:ascii="Arial" w:hAnsi="Arial" w:cs="Arial"/>
          <w:sz w:val="22"/>
          <w:szCs w:val="22"/>
        </w:rPr>
        <w:t>IEDA</w:t>
      </w:r>
      <w:r w:rsidRPr="008018EF">
        <w:rPr>
          <w:rFonts w:ascii="Arial" w:hAnsi="Arial" w:cs="Arial"/>
          <w:sz w:val="22"/>
          <w:szCs w:val="22"/>
        </w:rPr>
        <w:t xml:space="preserve"> may, for cause, find that a recipient is not</w:t>
      </w:r>
      <w:r w:rsidR="008E6DEF" w:rsidRPr="008018EF">
        <w:rPr>
          <w:rFonts w:ascii="Arial" w:hAnsi="Arial" w:cs="Arial"/>
          <w:sz w:val="22"/>
          <w:szCs w:val="22"/>
        </w:rPr>
        <w:t xml:space="preserve"> </w:t>
      </w:r>
      <w:r w:rsidRPr="008018EF">
        <w:rPr>
          <w:rFonts w:ascii="Arial" w:hAnsi="Arial" w:cs="Arial"/>
          <w:sz w:val="22"/>
          <w:szCs w:val="22"/>
        </w:rPr>
        <w:t>in compliance with the requirements of this program</w:t>
      </w:r>
      <w:r w:rsidR="008018EF" w:rsidRPr="008018EF">
        <w:rPr>
          <w:rFonts w:ascii="Arial" w:hAnsi="Arial" w:cs="Arial"/>
          <w:sz w:val="22"/>
          <w:szCs w:val="22"/>
        </w:rPr>
        <w:t xml:space="preserve">.  </w:t>
      </w:r>
      <w:r w:rsidRPr="008018EF">
        <w:rPr>
          <w:rFonts w:ascii="Arial" w:hAnsi="Arial" w:cs="Arial"/>
          <w:sz w:val="22"/>
          <w:szCs w:val="22"/>
        </w:rPr>
        <w:t xml:space="preserve">At </w:t>
      </w:r>
      <w:r w:rsidR="00631089" w:rsidRPr="008018EF">
        <w:rPr>
          <w:rFonts w:ascii="Arial" w:hAnsi="Arial" w:cs="Arial"/>
          <w:sz w:val="22"/>
          <w:szCs w:val="22"/>
        </w:rPr>
        <w:t>IEDA</w:t>
      </w:r>
      <w:r w:rsidRPr="008018EF">
        <w:rPr>
          <w:rFonts w:ascii="Arial" w:hAnsi="Arial" w:cs="Arial"/>
          <w:sz w:val="22"/>
          <w:szCs w:val="22"/>
        </w:rPr>
        <w:t>’s discretion, remedies for noncompliance</w:t>
      </w:r>
      <w:r w:rsidR="008E6DEF" w:rsidRPr="008018EF">
        <w:rPr>
          <w:rFonts w:ascii="Arial" w:hAnsi="Arial" w:cs="Arial"/>
          <w:sz w:val="22"/>
          <w:szCs w:val="22"/>
        </w:rPr>
        <w:t xml:space="preserve"> </w:t>
      </w:r>
      <w:r w:rsidRPr="008018EF">
        <w:rPr>
          <w:rFonts w:ascii="Arial" w:hAnsi="Arial" w:cs="Arial"/>
          <w:sz w:val="22"/>
          <w:szCs w:val="22"/>
        </w:rPr>
        <w:t xml:space="preserve">may include penalties up to and including the return of program funds to </w:t>
      </w:r>
      <w:r w:rsidR="00631089" w:rsidRPr="008018EF">
        <w:rPr>
          <w:rFonts w:ascii="Arial" w:hAnsi="Arial" w:cs="Arial"/>
          <w:sz w:val="22"/>
          <w:szCs w:val="22"/>
        </w:rPr>
        <w:t>IEDA</w:t>
      </w:r>
      <w:r w:rsidR="008018EF" w:rsidRPr="008018EF">
        <w:rPr>
          <w:rFonts w:ascii="Arial" w:hAnsi="Arial" w:cs="Arial"/>
          <w:sz w:val="22"/>
          <w:szCs w:val="22"/>
        </w:rPr>
        <w:t xml:space="preserve">.  </w:t>
      </w:r>
      <w:r w:rsidRPr="008018EF">
        <w:rPr>
          <w:rFonts w:ascii="Arial" w:hAnsi="Arial" w:cs="Arial"/>
          <w:sz w:val="22"/>
          <w:szCs w:val="22"/>
        </w:rPr>
        <w:t>Reasons for a finding</w:t>
      </w:r>
      <w:r w:rsidR="008E6DEF" w:rsidRPr="008018EF">
        <w:rPr>
          <w:rFonts w:ascii="Arial" w:hAnsi="Arial" w:cs="Arial"/>
          <w:sz w:val="22"/>
          <w:szCs w:val="22"/>
        </w:rPr>
        <w:t xml:space="preserve"> </w:t>
      </w:r>
      <w:r w:rsidRPr="008018EF">
        <w:rPr>
          <w:rFonts w:ascii="Arial" w:hAnsi="Arial" w:cs="Arial"/>
          <w:sz w:val="22"/>
          <w:szCs w:val="22"/>
        </w:rPr>
        <w:t>of noncompliance include the recipient’s use of funds for activities not described in the contract, the</w:t>
      </w:r>
      <w:r w:rsidR="008E6DEF" w:rsidRPr="008018EF">
        <w:rPr>
          <w:rFonts w:ascii="Arial" w:hAnsi="Arial" w:cs="Arial"/>
          <w:sz w:val="22"/>
          <w:szCs w:val="22"/>
        </w:rPr>
        <w:t xml:space="preserve"> </w:t>
      </w:r>
      <w:r w:rsidRPr="008018EF">
        <w:rPr>
          <w:rFonts w:ascii="Arial" w:hAnsi="Arial" w:cs="Arial"/>
          <w:sz w:val="22"/>
          <w:szCs w:val="22"/>
        </w:rPr>
        <w:t>recipient’s failure to complete funded activities in a timely manner, the recipient’s failure to comply with</w:t>
      </w:r>
      <w:r w:rsidR="008E6DEF" w:rsidRPr="008018EF">
        <w:rPr>
          <w:rFonts w:ascii="Arial" w:hAnsi="Arial" w:cs="Arial"/>
          <w:sz w:val="22"/>
          <w:szCs w:val="22"/>
        </w:rPr>
        <w:t xml:space="preserve"> </w:t>
      </w:r>
      <w:r w:rsidRPr="008018EF">
        <w:rPr>
          <w:rFonts w:ascii="Arial" w:hAnsi="Arial" w:cs="Arial"/>
          <w:sz w:val="22"/>
          <w:szCs w:val="22"/>
        </w:rPr>
        <w:t>applicable federal, state or local rules or regulations or the lack of a continuing capacity of the recipient</w:t>
      </w:r>
      <w:r w:rsidR="008E6DEF" w:rsidRPr="008018EF">
        <w:rPr>
          <w:rFonts w:ascii="Arial" w:hAnsi="Arial" w:cs="Arial"/>
          <w:sz w:val="22"/>
          <w:szCs w:val="22"/>
        </w:rPr>
        <w:t xml:space="preserve"> </w:t>
      </w:r>
      <w:r w:rsidRPr="008018EF">
        <w:rPr>
          <w:rFonts w:ascii="Arial" w:hAnsi="Arial" w:cs="Arial"/>
          <w:sz w:val="22"/>
          <w:szCs w:val="22"/>
        </w:rPr>
        <w:t>to carry out the approved activities in a timely manner.</w:t>
      </w:r>
    </w:p>
    <w:p w:rsidR="00236852" w:rsidRPr="008018EF" w:rsidRDefault="00236852" w:rsidP="008018EF">
      <w:pPr>
        <w:pStyle w:val="ListParagraph"/>
        <w:numPr>
          <w:ilvl w:val="0"/>
          <w:numId w:val="35"/>
        </w:numPr>
        <w:autoSpaceDE w:val="0"/>
        <w:autoSpaceDN w:val="0"/>
        <w:adjustRightInd w:val="0"/>
        <w:spacing w:after="120"/>
        <w:ind w:left="630" w:hanging="270"/>
        <w:rPr>
          <w:rFonts w:ascii="Arial" w:hAnsi="Arial" w:cs="Arial"/>
          <w:sz w:val="22"/>
          <w:szCs w:val="22"/>
        </w:rPr>
      </w:pPr>
      <w:r w:rsidRPr="008018EF">
        <w:rPr>
          <w:rFonts w:ascii="Arial" w:hAnsi="Arial" w:cs="Arial"/>
          <w:sz w:val="22"/>
          <w:szCs w:val="22"/>
        </w:rPr>
        <w:t>Appeals process for findings of noncompliance</w:t>
      </w:r>
      <w:r w:rsidR="00391AB5" w:rsidRPr="008018EF">
        <w:rPr>
          <w:rFonts w:ascii="Arial" w:hAnsi="Arial" w:cs="Arial"/>
          <w:sz w:val="22"/>
          <w:szCs w:val="22"/>
        </w:rPr>
        <w:t xml:space="preserve">.  </w:t>
      </w:r>
      <w:r w:rsidRPr="008018EF">
        <w:rPr>
          <w:rFonts w:ascii="Arial" w:hAnsi="Arial" w:cs="Arial"/>
          <w:sz w:val="22"/>
          <w:szCs w:val="22"/>
        </w:rPr>
        <w:t>Appeals will be entertained in instances</w:t>
      </w:r>
      <w:r w:rsidR="008E6DEF" w:rsidRPr="008018EF">
        <w:rPr>
          <w:rFonts w:ascii="Arial" w:hAnsi="Arial" w:cs="Arial"/>
          <w:sz w:val="22"/>
          <w:szCs w:val="22"/>
        </w:rPr>
        <w:t xml:space="preserve"> </w:t>
      </w:r>
      <w:r w:rsidRPr="008018EF">
        <w:rPr>
          <w:rFonts w:ascii="Arial" w:hAnsi="Arial" w:cs="Arial"/>
          <w:sz w:val="22"/>
          <w:szCs w:val="22"/>
        </w:rPr>
        <w:t xml:space="preserve">where it is alleged that </w:t>
      </w:r>
      <w:r w:rsidR="00631089" w:rsidRPr="008018EF">
        <w:rPr>
          <w:rFonts w:ascii="Arial" w:hAnsi="Arial" w:cs="Arial"/>
          <w:sz w:val="22"/>
          <w:szCs w:val="22"/>
        </w:rPr>
        <w:t>IEDA</w:t>
      </w:r>
      <w:r w:rsidRPr="008018EF">
        <w:rPr>
          <w:rFonts w:ascii="Arial" w:hAnsi="Arial" w:cs="Arial"/>
          <w:sz w:val="22"/>
          <w:szCs w:val="22"/>
        </w:rPr>
        <w:t xml:space="preserve"> staff participated in a decision which was unreasonable, arbitrary, or</w:t>
      </w:r>
      <w:r w:rsidR="008E6DEF" w:rsidRPr="008018EF">
        <w:rPr>
          <w:rFonts w:ascii="Arial" w:hAnsi="Arial" w:cs="Arial"/>
          <w:sz w:val="22"/>
          <w:szCs w:val="22"/>
        </w:rPr>
        <w:t xml:space="preserve"> </w:t>
      </w:r>
      <w:r w:rsidRPr="008018EF">
        <w:rPr>
          <w:rFonts w:ascii="Arial" w:hAnsi="Arial" w:cs="Arial"/>
          <w:sz w:val="22"/>
          <w:szCs w:val="22"/>
        </w:rPr>
        <w:t xml:space="preserve">capricious or otherwise beyond the authority delegated to </w:t>
      </w:r>
      <w:r w:rsidR="00631089" w:rsidRPr="008018EF">
        <w:rPr>
          <w:rFonts w:ascii="Arial" w:hAnsi="Arial" w:cs="Arial"/>
          <w:sz w:val="22"/>
          <w:szCs w:val="22"/>
        </w:rPr>
        <w:t>IEDA</w:t>
      </w:r>
      <w:r w:rsidR="008018EF" w:rsidRPr="008018EF">
        <w:rPr>
          <w:rFonts w:ascii="Arial" w:hAnsi="Arial" w:cs="Arial"/>
          <w:sz w:val="22"/>
          <w:szCs w:val="22"/>
        </w:rPr>
        <w:t xml:space="preserve">.  </w:t>
      </w:r>
      <w:r w:rsidRPr="008018EF">
        <w:rPr>
          <w:rFonts w:ascii="Arial" w:hAnsi="Arial" w:cs="Arial"/>
          <w:sz w:val="22"/>
          <w:szCs w:val="22"/>
        </w:rPr>
        <w:t>Appeals should be addressed to the</w:t>
      </w:r>
      <w:r w:rsidR="008E6DEF" w:rsidRPr="008018EF">
        <w:rPr>
          <w:rFonts w:ascii="Arial" w:hAnsi="Arial" w:cs="Arial"/>
          <w:sz w:val="22"/>
          <w:szCs w:val="22"/>
        </w:rPr>
        <w:t xml:space="preserve"> </w:t>
      </w:r>
      <w:r w:rsidRPr="008018EF">
        <w:rPr>
          <w:rFonts w:ascii="Arial" w:hAnsi="Arial" w:cs="Arial"/>
          <w:sz w:val="22"/>
          <w:szCs w:val="22"/>
        </w:rPr>
        <w:t>division administrator of the division of community development</w:t>
      </w:r>
      <w:r w:rsidR="008018EF" w:rsidRPr="008018EF">
        <w:rPr>
          <w:rFonts w:ascii="Arial" w:hAnsi="Arial" w:cs="Arial"/>
          <w:sz w:val="22"/>
          <w:szCs w:val="22"/>
        </w:rPr>
        <w:t xml:space="preserve">.  </w:t>
      </w:r>
      <w:r w:rsidRPr="008018EF">
        <w:rPr>
          <w:rFonts w:ascii="Arial" w:hAnsi="Arial" w:cs="Arial"/>
          <w:sz w:val="22"/>
          <w:szCs w:val="22"/>
        </w:rPr>
        <w:t>Appeals shall be in writing and</w:t>
      </w:r>
      <w:r w:rsidR="008E6DEF" w:rsidRPr="008018EF">
        <w:rPr>
          <w:rFonts w:ascii="Arial" w:hAnsi="Arial" w:cs="Arial"/>
          <w:sz w:val="22"/>
          <w:szCs w:val="22"/>
        </w:rPr>
        <w:t xml:space="preserve"> </w:t>
      </w:r>
      <w:r w:rsidRPr="008018EF">
        <w:rPr>
          <w:rFonts w:ascii="Arial" w:hAnsi="Arial" w:cs="Arial"/>
          <w:sz w:val="22"/>
          <w:szCs w:val="22"/>
        </w:rPr>
        <w:t xml:space="preserve">submitted to </w:t>
      </w:r>
      <w:r w:rsidR="00631089" w:rsidRPr="008018EF">
        <w:rPr>
          <w:rFonts w:ascii="Arial" w:hAnsi="Arial" w:cs="Arial"/>
          <w:sz w:val="22"/>
          <w:szCs w:val="22"/>
        </w:rPr>
        <w:t>IEDA</w:t>
      </w:r>
      <w:r w:rsidRPr="008018EF">
        <w:rPr>
          <w:rFonts w:ascii="Arial" w:hAnsi="Arial" w:cs="Arial"/>
          <w:sz w:val="22"/>
          <w:szCs w:val="22"/>
        </w:rPr>
        <w:t xml:space="preserve"> within 15 days of receipt of the finding of noncompliance</w:t>
      </w:r>
      <w:r w:rsidR="008018EF" w:rsidRPr="008018EF">
        <w:rPr>
          <w:rFonts w:ascii="Arial" w:hAnsi="Arial" w:cs="Arial"/>
          <w:sz w:val="22"/>
          <w:szCs w:val="22"/>
        </w:rPr>
        <w:t xml:space="preserve">.  </w:t>
      </w:r>
      <w:r w:rsidRPr="008018EF">
        <w:rPr>
          <w:rFonts w:ascii="Arial" w:hAnsi="Arial" w:cs="Arial"/>
          <w:sz w:val="22"/>
          <w:szCs w:val="22"/>
        </w:rPr>
        <w:t>The appeal shall include</w:t>
      </w:r>
      <w:r w:rsidR="008E6DEF" w:rsidRPr="008018EF">
        <w:rPr>
          <w:rFonts w:ascii="Arial" w:hAnsi="Arial" w:cs="Arial"/>
          <w:sz w:val="22"/>
          <w:szCs w:val="22"/>
        </w:rPr>
        <w:t xml:space="preserve"> </w:t>
      </w:r>
      <w:r w:rsidRPr="008018EF">
        <w:rPr>
          <w:rFonts w:ascii="Arial" w:hAnsi="Arial" w:cs="Arial"/>
          <w:sz w:val="22"/>
          <w:szCs w:val="22"/>
        </w:rPr>
        <w:t>reasons why the decision should be reconsidered</w:t>
      </w:r>
      <w:r w:rsidR="008018EF" w:rsidRPr="008018EF">
        <w:rPr>
          <w:rFonts w:ascii="Arial" w:hAnsi="Arial" w:cs="Arial"/>
          <w:sz w:val="22"/>
          <w:szCs w:val="22"/>
        </w:rPr>
        <w:t xml:space="preserve">.  </w:t>
      </w:r>
      <w:r w:rsidRPr="008018EF">
        <w:rPr>
          <w:rFonts w:ascii="Arial" w:hAnsi="Arial" w:cs="Arial"/>
          <w:sz w:val="22"/>
          <w:szCs w:val="22"/>
        </w:rPr>
        <w:t xml:space="preserve">The </w:t>
      </w:r>
      <w:r w:rsidR="00631089" w:rsidRPr="008018EF">
        <w:rPr>
          <w:rFonts w:ascii="Arial" w:hAnsi="Arial" w:cs="Arial"/>
          <w:sz w:val="22"/>
          <w:szCs w:val="22"/>
        </w:rPr>
        <w:t>IEDA</w:t>
      </w:r>
      <w:r w:rsidRPr="008018EF">
        <w:rPr>
          <w:rFonts w:ascii="Arial" w:hAnsi="Arial" w:cs="Arial"/>
          <w:sz w:val="22"/>
          <w:szCs w:val="22"/>
        </w:rPr>
        <w:t xml:space="preserve"> director will make the final decision on all</w:t>
      </w:r>
      <w:r w:rsidR="008E6DEF" w:rsidRPr="008018EF">
        <w:rPr>
          <w:rFonts w:ascii="Arial" w:hAnsi="Arial" w:cs="Arial"/>
          <w:sz w:val="22"/>
          <w:szCs w:val="22"/>
        </w:rPr>
        <w:t xml:space="preserve"> </w:t>
      </w:r>
      <w:r w:rsidRPr="008018EF">
        <w:rPr>
          <w:rFonts w:ascii="Arial" w:hAnsi="Arial" w:cs="Arial"/>
          <w:sz w:val="22"/>
          <w:szCs w:val="22"/>
        </w:rPr>
        <w:t>appeals.</w:t>
      </w:r>
    </w:p>
    <w:p w:rsidR="00236852" w:rsidRPr="00162839" w:rsidRDefault="00236852" w:rsidP="008018EF">
      <w:pPr>
        <w:autoSpaceDE w:val="0"/>
        <w:autoSpaceDN w:val="0"/>
        <w:adjustRightInd w:val="0"/>
        <w:jc w:val="right"/>
        <w:rPr>
          <w:rFonts w:ascii="Arial" w:hAnsi="Arial" w:cs="Arial"/>
          <w:sz w:val="22"/>
          <w:szCs w:val="22"/>
        </w:rPr>
      </w:pPr>
      <w:r w:rsidRPr="008018EF">
        <w:rPr>
          <w:rFonts w:ascii="Arial" w:hAnsi="Arial" w:cs="Arial"/>
          <w:szCs w:val="22"/>
        </w:rPr>
        <w:t>[</w:t>
      </w:r>
      <w:r w:rsidRPr="008018EF">
        <w:rPr>
          <w:rFonts w:ascii="Arial" w:hAnsi="Arial" w:cs="Arial"/>
          <w:b/>
          <w:bCs/>
          <w:szCs w:val="22"/>
        </w:rPr>
        <w:t>ARC 9326B</w:t>
      </w:r>
      <w:r w:rsidRPr="008018EF">
        <w:rPr>
          <w:rFonts w:ascii="Arial" w:hAnsi="Arial" w:cs="Arial"/>
          <w:szCs w:val="22"/>
        </w:rPr>
        <w:t>, IAB 1/12/11, effective 2/16/11]</w:t>
      </w:r>
    </w:p>
    <w:p w:rsidR="008018EF" w:rsidRDefault="008018EF" w:rsidP="00162839">
      <w:pPr>
        <w:autoSpaceDE w:val="0"/>
        <w:autoSpaceDN w:val="0"/>
        <w:adjustRightInd w:val="0"/>
        <w:rPr>
          <w:rFonts w:ascii="Arial" w:hAnsi="Arial" w:cs="Arial"/>
          <w:sz w:val="22"/>
          <w:szCs w:val="22"/>
        </w:rPr>
      </w:pPr>
    </w:p>
    <w:p w:rsidR="00236852" w:rsidRPr="00162839" w:rsidRDefault="00236852" w:rsidP="00162839">
      <w:pPr>
        <w:autoSpaceDE w:val="0"/>
        <w:autoSpaceDN w:val="0"/>
        <w:adjustRightInd w:val="0"/>
        <w:rPr>
          <w:rFonts w:ascii="Arial" w:hAnsi="Arial" w:cs="Arial"/>
          <w:i/>
          <w:iCs/>
          <w:sz w:val="22"/>
          <w:szCs w:val="22"/>
        </w:rPr>
      </w:pPr>
      <w:r w:rsidRPr="00162839">
        <w:rPr>
          <w:rFonts w:ascii="Arial" w:hAnsi="Arial" w:cs="Arial"/>
          <w:sz w:val="22"/>
          <w:szCs w:val="22"/>
        </w:rPr>
        <w:t>These rules are intended to implement Iowa Code section 15.108(1</w:t>
      </w:r>
      <w:proofErr w:type="gramStart"/>
      <w:r w:rsidRPr="00162839">
        <w:rPr>
          <w:rFonts w:ascii="Arial" w:hAnsi="Arial" w:cs="Arial"/>
          <w:sz w:val="22"/>
          <w:szCs w:val="22"/>
        </w:rPr>
        <w:t>)</w:t>
      </w:r>
      <w:r w:rsidRPr="00162839">
        <w:rPr>
          <w:rFonts w:ascii="Arial" w:hAnsi="Arial" w:cs="Arial"/>
          <w:i/>
          <w:iCs/>
          <w:sz w:val="22"/>
          <w:szCs w:val="22"/>
        </w:rPr>
        <w:t>“</w:t>
      </w:r>
      <w:proofErr w:type="gramEnd"/>
      <w:r w:rsidRPr="00162839">
        <w:rPr>
          <w:rFonts w:ascii="Arial" w:hAnsi="Arial" w:cs="Arial"/>
          <w:i/>
          <w:iCs/>
          <w:sz w:val="22"/>
          <w:szCs w:val="22"/>
        </w:rPr>
        <w:t>a.”</w:t>
      </w:r>
    </w:p>
    <w:p w:rsidR="008E6DEF" w:rsidRPr="00162839" w:rsidRDefault="008E6DEF" w:rsidP="00162839">
      <w:pPr>
        <w:autoSpaceDE w:val="0"/>
        <w:autoSpaceDN w:val="0"/>
        <w:adjustRightInd w:val="0"/>
        <w:rPr>
          <w:rFonts w:ascii="Arial" w:hAnsi="Arial" w:cs="Arial"/>
          <w:i/>
          <w:iCs/>
          <w:sz w:val="22"/>
          <w:szCs w:val="22"/>
        </w:rPr>
      </w:pP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5/22/92 after Notice 3/18/92—published 6/10/92, effective 5/22/92]</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12/18/92, Notice 10/14/92—published 1/6/93, effective 2/10/93]</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2/26/93—published 3/17/93, effective 2/26/93]</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8/20/93—published 9/15/93, effective 8/20/93]</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10/22/93 after Notice 8/18/93—published 11/10/93, effective 10/22/93]</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10/20/95 after Notice 8/16/95—published 11/8/95, effective 10/20/95]</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10/18/96 after Notice 9/11/96—published 11/6/96, effective 10/18/96]</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1/23/98, Notice 12/17/97—published 2/11/98, effective 3/18/98]</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9/17/98, Notice 8/12/98—published 10/7/98, effective 11/11/98]</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9/16/99, Notice 7/14/99—published 10/6/99, effective 11/10/99]</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4/21/00, Notice 2/9/00—published 5/17/00, effective 6/21/00]</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7/20/00 after Notice 5/17/00—published 8/9/00, effective 7/20/00]</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12/22/00, Notice 10/18/00—published 1/10/01, effective 2/14/01]</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11/29/01 after Notice 10/17/01—published 12/26/01, effective 11/29/01]</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8/30/02, Notice 7/10/02—published 9/18/02, effective 10/23/02]</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7/15/04, Notice 5/12/04—published 8/4/04, effective 9/8/04]</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 xml:space="preserve">Ch 25, p.6 Economic </w:t>
      </w:r>
      <w:proofErr w:type="gramStart"/>
      <w:r w:rsidRPr="008018EF">
        <w:rPr>
          <w:rFonts w:ascii="Arial" w:hAnsi="Arial" w:cs="Arial"/>
          <w:sz w:val="18"/>
          <w:szCs w:val="22"/>
        </w:rPr>
        <w:t>Development[</w:t>
      </w:r>
      <w:proofErr w:type="gramEnd"/>
      <w:r w:rsidRPr="008018EF">
        <w:rPr>
          <w:rFonts w:ascii="Arial" w:hAnsi="Arial" w:cs="Arial"/>
          <w:sz w:val="18"/>
          <w:szCs w:val="22"/>
        </w:rPr>
        <w:t>261] IAC 1/12/11</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11/19/04 after Notice 10/13/04—published 12/22/04, effective 11/19/04]</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11/16/06 after Notice 8/30/06—published 12/20/06, effective 11/17/06]</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8/16/07, Notice 7/4/07—published 9/12/07, effective 10/17/07]</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9/18/08, Notice 7/16/08—published 10/8/08, effective 11/12/08]</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emergency 9/26/08—published 10/22/08, effective 9/26/08]</w:t>
      </w:r>
    </w:p>
    <w:p w:rsidR="00236852" w:rsidRPr="008018EF" w:rsidRDefault="00236852" w:rsidP="008018EF">
      <w:pPr>
        <w:autoSpaceDE w:val="0"/>
        <w:autoSpaceDN w:val="0"/>
        <w:adjustRightInd w:val="0"/>
        <w:jc w:val="right"/>
        <w:rPr>
          <w:rFonts w:ascii="Arial" w:hAnsi="Arial" w:cs="Arial"/>
          <w:sz w:val="18"/>
          <w:szCs w:val="22"/>
        </w:rPr>
      </w:pPr>
      <w:r w:rsidRPr="008018EF">
        <w:rPr>
          <w:rFonts w:ascii="Arial" w:hAnsi="Arial" w:cs="Arial"/>
          <w:sz w:val="18"/>
          <w:szCs w:val="22"/>
        </w:rPr>
        <w:t>[Filed ARC 8418B (Notice ARC 8149B, IAB 9/23/09), IAB 12/30/09, effective 2/3/10]</w:t>
      </w:r>
    </w:p>
    <w:p w:rsidR="003D3324" w:rsidRPr="008018EF" w:rsidRDefault="00236852" w:rsidP="008018EF">
      <w:pPr>
        <w:jc w:val="right"/>
        <w:rPr>
          <w:rFonts w:ascii="Arial" w:hAnsi="Arial" w:cs="Arial"/>
          <w:sz w:val="18"/>
          <w:szCs w:val="22"/>
        </w:rPr>
      </w:pPr>
      <w:r w:rsidRPr="008018EF">
        <w:rPr>
          <w:rFonts w:ascii="Arial" w:hAnsi="Arial" w:cs="Arial"/>
          <w:sz w:val="18"/>
          <w:szCs w:val="22"/>
        </w:rPr>
        <w:t>[Filed ARC 9326B (Notice ARC 9060B, IAB 9/8/10), IAB 1/12/11, effective 2/16/11]</w:t>
      </w:r>
    </w:p>
    <w:sectPr w:rsidR="003D3324" w:rsidRPr="008018EF" w:rsidSect="008018EF">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EF" w:rsidRDefault="008018EF" w:rsidP="00236852">
      <w:r>
        <w:separator/>
      </w:r>
    </w:p>
  </w:endnote>
  <w:endnote w:type="continuationSeparator" w:id="0">
    <w:p w:rsidR="008018EF" w:rsidRDefault="008018EF" w:rsidP="00236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EF" w:rsidRDefault="00673F36">
    <w:pPr>
      <w:pStyle w:val="Footer"/>
    </w:pPr>
    <w:r>
      <w:rPr>
        <w:noProof/>
      </w:rPr>
      <w:pict>
        <v:shapetype id="_x0000_t202" coordsize="21600,21600" o:spt="202" path="m,l,21600r21600,l21600,xe">
          <v:stroke joinstyle="miter"/>
          <v:path gradientshapeok="t" o:connecttype="rect"/>
        </v:shapetype>
        <v:shape id="_x0000_s3073" type="#_x0000_t202" style="position:absolute;margin-left:66.25pt;margin-top:755.3pt;width:477.9pt;height:23.5pt;z-index:251658240;mso-position-horizontal-relative:page;mso-position-vertical-relative:page;mso-width-relative:margin;mso-height-relative:margin" o:allowincell="f" o:allowoverlap="f" filled="f" stroked="f">
          <v:textbox style="mso-next-textbox:#_x0000_s3073">
            <w:txbxContent>
              <w:p w:rsidR="008018EF" w:rsidRPr="00F2035A" w:rsidRDefault="008018EF" w:rsidP="00CD1004">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0878A9">
                  <w:rPr>
                    <w:rFonts w:ascii="Arial Black" w:hAnsi="Arial Black"/>
                    <w:sz w:val="16"/>
                  </w:rPr>
                  <w:t>4</w:t>
                </w:r>
                <w:r w:rsidRPr="00F2035A">
                  <w:rPr>
                    <w:b/>
                    <w:sz w:val="16"/>
                  </w:rPr>
                  <w:t xml:space="preserve"> </w:t>
                </w:r>
                <w:proofErr w:type="spellStart"/>
                <w:r w:rsidRPr="00F2035A">
                  <w:rPr>
                    <w:rFonts w:ascii="Arial Black" w:hAnsi="Arial Black"/>
                    <w:sz w:val="16"/>
                  </w:rPr>
                  <w:t>CDBG</w:t>
                </w:r>
                <w:proofErr w:type="spellEnd"/>
                <w:r w:rsidRPr="00F2035A">
                  <w:rPr>
                    <w:b/>
                    <w:sz w:val="16"/>
                  </w:rPr>
                  <w:t xml:space="preserve"> MANAGEMENT GUIDE</w:t>
                </w:r>
                <w:r w:rsidR="00650EEA">
                  <w:rPr>
                    <w:b/>
                    <w:sz w:val="16"/>
                  </w:rPr>
                  <w:t xml:space="preserve"> – APPENDIX 5</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673F36" w:rsidRPr="00982A76">
                  <w:rPr>
                    <w:rFonts w:ascii="Arial Black" w:hAnsi="Arial Black"/>
                    <w:sz w:val="16"/>
                  </w:rPr>
                  <w:fldChar w:fldCharType="begin"/>
                </w:r>
                <w:r w:rsidRPr="00982A76">
                  <w:rPr>
                    <w:rFonts w:ascii="Arial Black" w:hAnsi="Arial Black"/>
                    <w:sz w:val="16"/>
                  </w:rPr>
                  <w:instrText xml:space="preserve"> PAGE   \* MERGEFORMAT </w:instrText>
                </w:r>
                <w:r w:rsidR="00673F36" w:rsidRPr="00982A76">
                  <w:rPr>
                    <w:rFonts w:ascii="Arial Black" w:hAnsi="Arial Black"/>
                    <w:sz w:val="16"/>
                  </w:rPr>
                  <w:fldChar w:fldCharType="separate"/>
                </w:r>
                <w:r w:rsidR="000878A9">
                  <w:rPr>
                    <w:rFonts w:ascii="Arial Black" w:hAnsi="Arial Black"/>
                    <w:noProof/>
                    <w:sz w:val="16"/>
                  </w:rPr>
                  <w:t>30</w:t>
                </w:r>
                <w:r w:rsidR="00673F36" w:rsidRPr="00982A76">
                  <w:rPr>
                    <w:rFonts w:ascii="Arial Black" w:hAnsi="Arial Black"/>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EF" w:rsidRDefault="008018EF" w:rsidP="00236852">
      <w:r>
        <w:separator/>
      </w:r>
    </w:p>
  </w:footnote>
  <w:footnote w:type="continuationSeparator" w:id="0">
    <w:p w:rsidR="008018EF" w:rsidRDefault="008018EF" w:rsidP="00236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EF" w:rsidRPr="00162839" w:rsidRDefault="008018EF" w:rsidP="00162839">
    <w:pPr>
      <w:tabs>
        <w:tab w:val="right" w:pos="10080"/>
      </w:tabs>
      <w:autoSpaceDE w:val="0"/>
      <w:autoSpaceDN w:val="0"/>
      <w:adjustRightInd w:val="0"/>
      <w:rPr>
        <w:rFonts w:ascii="Arial" w:hAnsi="Arial" w:cs="Arial"/>
        <w:b/>
        <w:sz w:val="22"/>
        <w:szCs w:val="21"/>
      </w:rPr>
    </w:pPr>
    <w:r w:rsidRPr="00162839">
      <w:rPr>
        <w:rFonts w:ascii="Arial" w:hAnsi="Arial" w:cs="Arial"/>
        <w:b/>
        <w:sz w:val="22"/>
        <w:szCs w:val="21"/>
      </w:rPr>
      <w:t>Iowa Administrative Code 1/12/11</w:t>
    </w:r>
    <w:r w:rsidRPr="00162839">
      <w:rPr>
        <w:rFonts w:ascii="Arial" w:hAnsi="Arial" w:cs="Arial"/>
        <w:b/>
        <w:sz w:val="22"/>
        <w:szCs w:val="21"/>
      </w:rPr>
      <w:tab/>
      <w:t>Economic Development [261] Ch 25, p.1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62C"/>
    <w:multiLevelType w:val="hybridMultilevel"/>
    <w:tmpl w:val="3B3A90CE"/>
    <w:lvl w:ilvl="0" w:tplc="0409000F">
      <w:start w:val="1"/>
      <w:numFmt w:val="decimal"/>
      <w:lvlText w:val="%1."/>
      <w:lvlJc w:val="left"/>
      <w:pPr>
        <w:ind w:left="720" w:hanging="360"/>
      </w:pPr>
    </w:lvl>
    <w:lvl w:ilvl="1" w:tplc="9D2AC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9096D"/>
    <w:multiLevelType w:val="hybridMultilevel"/>
    <w:tmpl w:val="A336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3CF"/>
    <w:multiLevelType w:val="hybridMultilevel"/>
    <w:tmpl w:val="A32EAECA"/>
    <w:lvl w:ilvl="0" w:tplc="BCCC5F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041"/>
    <w:multiLevelType w:val="hybridMultilevel"/>
    <w:tmpl w:val="7D8E3B98"/>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nsid w:val="19DB1AD8"/>
    <w:multiLevelType w:val="hybridMultilevel"/>
    <w:tmpl w:val="531E29F4"/>
    <w:lvl w:ilvl="0" w:tplc="BF8625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E2182"/>
    <w:multiLevelType w:val="hybridMultilevel"/>
    <w:tmpl w:val="6EBE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B4039"/>
    <w:multiLevelType w:val="hybridMultilevel"/>
    <w:tmpl w:val="20F6CCC0"/>
    <w:lvl w:ilvl="0" w:tplc="0B5AD78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6F00F58"/>
    <w:multiLevelType w:val="hybridMultilevel"/>
    <w:tmpl w:val="FD14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1082D"/>
    <w:multiLevelType w:val="hybridMultilevel"/>
    <w:tmpl w:val="08002EA2"/>
    <w:lvl w:ilvl="0" w:tplc="E53EF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C6B6D"/>
    <w:multiLevelType w:val="hybridMultilevel"/>
    <w:tmpl w:val="02003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5664E"/>
    <w:multiLevelType w:val="hybridMultilevel"/>
    <w:tmpl w:val="2560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862BF"/>
    <w:multiLevelType w:val="hybridMultilevel"/>
    <w:tmpl w:val="29B2D6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95258C"/>
    <w:multiLevelType w:val="hybridMultilevel"/>
    <w:tmpl w:val="2F66BF7E"/>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DF94D20"/>
    <w:multiLevelType w:val="hybridMultilevel"/>
    <w:tmpl w:val="F7C26E6C"/>
    <w:lvl w:ilvl="0" w:tplc="160E6E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F09F9"/>
    <w:multiLevelType w:val="hybridMultilevel"/>
    <w:tmpl w:val="6DD4BF62"/>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0217FB0"/>
    <w:multiLevelType w:val="hybridMultilevel"/>
    <w:tmpl w:val="FD14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51D9C"/>
    <w:multiLevelType w:val="hybridMultilevel"/>
    <w:tmpl w:val="A6C8F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60E49"/>
    <w:multiLevelType w:val="hybridMultilevel"/>
    <w:tmpl w:val="8ED8622E"/>
    <w:lvl w:ilvl="0" w:tplc="F99C5D98">
      <w:start w:val="1"/>
      <w:numFmt w:val="decimal"/>
      <w:lvlText w:val="(%1)"/>
      <w:lvlJc w:val="left"/>
      <w:pPr>
        <w:ind w:left="0" w:hanging="360"/>
      </w:pPr>
      <w:rPr>
        <w:rFonts w:hint="default"/>
      </w:rPr>
    </w:lvl>
    <w:lvl w:ilvl="1" w:tplc="D60C2872">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6C072CD"/>
    <w:multiLevelType w:val="hybridMultilevel"/>
    <w:tmpl w:val="D414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C128C"/>
    <w:multiLevelType w:val="hybridMultilevel"/>
    <w:tmpl w:val="5F98C478"/>
    <w:lvl w:ilvl="0" w:tplc="12EEB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25D88"/>
    <w:multiLevelType w:val="hybridMultilevel"/>
    <w:tmpl w:val="F9AAB16A"/>
    <w:lvl w:ilvl="0" w:tplc="F5D48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D5644"/>
    <w:multiLevelType w:val="hybridMultilevel"/>
    <w:tmpl w:val="924C0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B771A"/>
    <w:multiLevelType w:val="hybridMultilevel"/>
    <w:tmpl w:val="0B16C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449"/>
    <w:multiLevelType w:val="hybridMultilevel"/>
    <w:tmpl w:val="99F2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2507F"/>
    <w:multiLevelType w:val="hybridMultilevel"/>
    <w:tmpl w:val="B192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B3812"/>
    <w:multiLevelType w:val="hybridMultilevel"/>
    <w:tmpl w:val="AE6861AC"/>
    <w:lvl w:ilvl="0" w:tplc="CD2E0C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82C07"/>
    <w:multiLevelType w:val="hybridMultilevel"/>
    <w:tmpl w:val="63CA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5521F"/>
    <w:multiLevelType w:val="hybridMultilevel"/>
    <w:tmpl w:val="5D1EC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33EF7"/>
    <w:multiLevelType w:val="hybridMultilevel"/>
    <w:tmpl w:val="63345EEA"/>
    <w:lvl w:ilvl="0" w:tplc="12EEB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70C0"/>
    <w:multiLevelType w:val="hybridMultilevel"/>
    <w:tmpl w:val="0E702A38"/>
    <w:lvl w:ilvl="0" w:tplc="1E62FF42">
      <w:numFmt w:val="bullet"/>
      <w:lvlText w:val="-"/>
      <w:lvlJc w:val="left"/>
      <w:pPr>
        <w:ind w:left="4920" w:hanging="360"/>
      </w:pPr>
      <w:rPr>
        <w:rFonts w:ascii="Calibri" w:eastAsiaTheme="minorHAnsi" w:hAnsi="Calibri"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30">
    <w:nsid w:val="6F444809"/>
    <w:multiLevelType w:val="hybridMultilevel"/>
    <w:tmpl w:val="F56E010E"/>
    <w:lvl w:ilvl="0" w:tplc="DD50F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70C6E"/>
    <w:multiLevelType w:val="hybridMultilevel"/>
    <w:tmpl w:val="7CD0BB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6330E"/>
    <w:multiLevelType w:val="hybridMultilevel"/>
    <w:tmpl w:val="9754FCAA"/>
    <w:lvl w:ilvl="0" w:tplc="12EEB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820D7"/>
    <w:multiLevelType w:val="hybridMultilevel"/>
    <w:tmpl w:val="49B87F2C"/>
    <w:lvl w:ilvl="0" w:tplc="0A327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73B00"/>
    <w:multiLevelType w:val="hybridMultilevel"/>
    <w:tmpl w:val="3C4A6C20"/>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3"/>
  </w:num>
  <w:num w:numId="3">
    <w:abstractNumId w:val="20"/>
  </w:num>
  <w:num w:numId="4">
    <w:abstractNumId w:val="10"/>
  </w:num>
  <w:num w:numId="5">
    <w:abstractNumId w:val="8"/>
  </w:num>
  <w:num w:numId="6">
    <w:abstractNumId w:val="0"/>
  </w:num>
  <w:num w:numId="7">
    <w:abstractNumId w:val="33"/>
  </w:num>
  <w:num w:numId="8">
    <w:abstractNumId w:val="16"/>
  </w:num>
  <w:num w:numId="9">
    <w:abstractNumId w:val="21"/>
  </w:num>
  <w:num w:numId="10">
    <w:abstractNumId w:val="30"/>
  </w:num>
  <w:num w:numId="11">
    <w:abstractNumId w:val="22"/>
  </w:num>
  <w:num w:numId="12">
    <w:abstractNumId w:val="17"/>
  </w:num>
  <w:num w:numId="13">
    <w:abstractNumId w:val="9"/>
  </w:num>
  <w:num w:numId="14">
    <w:abstractNumId w:val="31"/>
  </w:num>
  <w:num w:numId="15">
    <w:abstractNumId w:val="27"/>
  </w:num>
  <w:num w:numId="16">
    <w:abstractNumId w:val="11"/>
  </w:num>
  <w:num w:numId="17">
    <w:abstractNumId w:val="6"/>
  </w:num>
  <w:num w:numId="18">
    <w:abstractNumId w:val="24"/>
  </w:num>
  <w:num w:numId="19">
    <w:abstractNumId w:val="15"/>
  </w:num>
  <w:num w:numId="20">
    <w:abstractNumId w:val="32"/>
  </w:num>
  <w:num w:numId="21">
    <w:abstractNumId w:val="19"/>
  </w:num>
  <w:num w:numId="22">
    <w:abstractNumId w:val="28"/>
  </w:num>
  <w:num w:numId="23">
    <w:abstractNumId w:val="4"/>
  </w:num>
  <w:num w:numId="24">
    <w:abstractNumId w:val="14"/>
  </w:num>
  <w:num w:numId="25">
    <w:abstractNumId w:val="18"/>
  </w:num>
  <w:num w:numId="26">
    <w:abstractNumId w:val="23"/>
  </w:num>
  <w:num w:numId="27">
    <w:abstractNumId w:val="26"/>
  </w:num>
  <w:num w:numId="28">
    <w:abstractNumId w:val="13"/>
  </w:num>
  <w:num w:numId="29">
    <w:abstractNumId w:val="34"/>
  </w:num>
  <w:num w:numId="30">
    <w:abstractNumId w:val="1"/>
  </w:num>
  <w:num w:numId="31">
    <w:abstractNumId w:val="7"/>
  </w:num>
  <w:num w:numId="32">
    <w:abstractNumId w:val="25"/>
  </w:num>
  <w:num w:numId="33">
    <w:abstractNumId w:val="12"/>
  </w:num>
  <w:num w:numId="34">
    <w:abstractNumId w:val="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236852"/>
    <w:rsid w:val="000878A9"/>
    <w:rsid w:val="000B61C6"/>
    <w:rsid w:val="000B67FA"/>
    <w:rsid w:val="000E4261"/>
    <w:rsid w:val="00162839"/>
    <w:rsid w:val="00236852"/>
    <w:rsid w:val="00334B9C"/>
    <w:rsid w:val="00391204"/>
    <w:rsid w:val="00391AB5"/>
    <w:rsid w:val="003A6E0C"/>
    <w:rsid w:val="003D3324"/>
    <w:rsid w:val="004444C0"/>
    <w:rsid w:val="00490C52"/>
    <w:rsid w:val="00631089"/>
    <w:rsid w:val="0063292C"/>
    <w:rsid w:val="00635700"/>
    <w:rsid w:val="00650EEA"/>
    <w:rsid w:val="00673F36"/>
    <w:rsid w:val="007B0AA4"/>
    <w:rsid w:val="007E7646"/>
    <w:rsid w:val="008018EF"/>
    <w:rsid w:val="00861FEB"/>
    <w:rsid w:val="008E1F54"/>
    <w:rsid w:val="008E6DEF"/>
    <w:rsid w:val="00904166"/>
    <w:rsid w:val="00917764"/>
    <w:rsid w:val="00A3744D"/>
    <w:rsid w:val="00A6263E"/>
    <w:rsid w:val="00AC58C6"/>
    <w:rsid w:val="00B7609E"/>
    <w:rsid w:val="00BB3829"/>
    <w:rsid w:val="00C04EE5"/>
    <w:rsid w:val="00C119E0"/>
    <w:rsid w:val="00C87440"/>
    <w:rsid w:val="00CD1004"/>
    <w:rsid w:val="00DB1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2"/>
    <w:pPr>
      <w:tabs>
        <w:tab w:val="center" w:pos="4680"/>
        <w:tab w:val="right" w:pos="9360"/>
      </w:tabs>
    </w:pPr>
  </w:style>
  <w:style w:type="character" w:customStyle="1" w:styleId="HeaderChar">
    <w:name w:val="Header Char"/>
    <w:basedOn w:val="DefaultParagraphFont"/>
    <w:link w:val="Header"/>
    <w:uiPriority w:val="99"/>
    <w:rsid w:val="00236852"/>
  </w:style>
  <w:style w:type="paragraph" w:styleId="Footer">
    <w:name w:val="footer"/>
    <w:basedOn w:val="Normal"/>
    <w:link w:val="FooterChar"/>
    <w:unhideWhenUsed/>
    <w:rsid w:val="00236852"/>
    <w:pPr>
      <w:tabs>
        <w:tab w:val="center" w:pos="4680"/>
        <w:tab w:val="right" w:pos="9360"/>
      </w:tabs>
    </w:pPr>
  </w:style>
  <w:style w:type="character" w:customStyle="1" w:styleId="FooterChar">
    <w:name w:val="Footer Char"/>
    <w:basedOn w:val="DefaultParagraphFont"/>
    <w:link w:val="Footer"/>
    <w:rsid w:val="00236852"/>
  </w:style>
  <w:style w:type="paragraph" w:styleId="ListParagraph">
    <w:name w:val="List Paragraph"/>
    <w:basedOn w:val="Normal"/>
    <w:uiPriority w:val="34"/>
    <w:qFormat/>
    <w:rsid w:val="00162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2</cp:revision>
  <dcterms:created xsi:type="dcterms:W3CDTF">2014-04-02T20:50:00Z</dcterms:created>
  <dcterms:modified xsi:type="dcterms:W3CDTF">2014-04-02T20:50:00Z</dcterms:modified>
</cp:coreProperties>
</file>